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646ED">
      <w:pPr>
        <w:pageBreakBefore w:val="0"/>
        <w:kinsoku/>
        <w:wordWrap/>
        <w:overflowPunct/>
        <w:topLinePunct w:val="0"/>
        <w:bidi w:val="0"/>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G12珲春至乌兰浩特高速公路防川至珲春段和</w:t>
      </w:r>
      <w:r>
        <w:rPr>
          <w:rFonts w:hint="eastAsia" w:ascii="宋体" w:hAnsi="宋体" w:eastAsia="宋体" w:cs="宋体"/>
          <w:sz w:val="28"/>
          <w:szCs w:val="28"/>
        </w:rPr>
        <w:br w:type="textWrapping"/>
      </w:r>
      <w:r>
        <w:rPr>
          <w:rFonts w:hint="eastAsia" w:ascii="宋体" w:hAnsi="宋体" w:eastAsia="宋体" w:cs="宋体"/>
          <w:sz w:val="28"/>
          <w:szCs w:val="28"/>
        </w:rPr>
        <w:t>G1131牡丹江至延吉高速公路老爷岭（黑吉界）至汪清段施工监理</w:t>
      </w:r>
    </w:p>
    <w:p w14:paraId="1CE9E248">
      <w:pPr>
        <w:pageBreakBefore w:val="0"/>
        <w:kinsoku/>
        <w:wordWrap/>
        <w:overflowPunct/>
        <w:topLinePunct w:val="0"/>
        <w:bidi w:val="0"/>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招标文件公开内容</w:t>
      </w:r>
    </w:p>
    <w:p w14:paraId="539AB7C6">
      <w:pPr>
        <w:pageBreakBefore w:val="0"/>
        <w:tabs>
          <w:tab w:val="center" w:pos="4819"/>
        </w:tabs>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一、项目概况与招标范围</w:t>
      </w:r>
      <w:r>
        <w:rPr>
          <w:rFonts w:hint="eastAsia" w:ascii="宋体" w:hAnsi="宋体" w:eastAsia="宋体" w:cs="宋体"/>
          <w:sz w:val="21"/>
          <w:szCs w:val="21"/>
        </w:rPr>
        <w:tab/>
      </w:r>
    </w:p>
    <w:p w14:paraId="71891C0A">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详见招标公告</w:t>
      </w:r>
    </w:p>
    <w:p w14:paraId="3405A82A">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二、投标人资格要求</w:t>
      </w:r>
      <w:bookmarkStart w:id="15" w:name="_GoBack"/>
      <w:bookmarkEnd w:id="15"/>
    </w:p>
    <w:p w14:paraId="581128E6">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投标人须知前附表（投标人资格要求部分）</w:t>
      </w:r>
    </w:p>
    <w:tbl>
      <w:tblPr>
        <w:tblStyle w:val="9"/>
        <w:tblW w:w="9475" w:type="dxa"/>
        <w:jc w:val="center"/>
        <w:tblLayout w:type="fixed"/>
        <w:tblCellMar>
          <w:top w:w="0" w:type="dxa"/>
          <w:left w:w="28" w:type="dxa"/>
          <w:bottom w:w="0" w:type="dxa"/>
          <w:right w:w="28" w:type="dxa"/>
        </w:tblCellMar>
      </w:tblPr>
      <w:tblGrid>
        <w:gridCol w:w="953"/>
        <w:gridCol w:w="2006"/>
        <w:gridCol w:w="6516"/>
      </w:tblGrid>
      <w:tr w14:paraId="03F01273">
        <w:tblPrEx>
          <w:tblCellMar>
            <w:top w:w="0" w:type="dxa"/>
            <w:left w:w="28" w:type="dxa"/>
            <w:bottom w:w="0" w:type="dxa"/>
            <w:right w:w="28" w:type="dxa"/>
          </w:tblCellMar>
        </w:tblPrEx>
        <w:trPr>
          <w:trHeight w:val="567" w:hRule="atLeast"/>
          <w:jc w:val="center"/>
        </w:trPr>
        <w:tc>
          <w:tcPr>
            <w:tcW w:w="953" w:type="dxa"/>
            <w:tcBorders>
              <w:top w:val="single" w:color="auto" w:sz="12" w:space="0"/>
              <w:left w:val="single" w:color="auto" w:sz="12" w:space="0"/>
              <w:bottom w:val="single" w:color="000000" w:sz="4" w:space="0"/>
              <w:right w:val="single" w:color="000000" w:sz="4" w:space="0"/>
            </w:tcBorders>
            <w:vAlign w:val="center"/>
          </w:tcPr>
          <w:p w14:paraId="255AF100">
            <w:pPr>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条款号</w:t>
            </w:r>
          </w:p>
        </w:tc>
        <w:tc>
          <w:tcPr>
            <w:tcW w:w="2006" w:type="dxa"/>
            <w:tcBorders>
              <w:top w:val="single" w:color="auto" w:sz="12" w:space="0"/>
              <w:left w:val="single" w:color="000000" w:sz="4" w:space="0"/>
              <w:bottom w:val="single" w:color="000000" w:sz="4" w:space="0"/>
              <w:right w:val="single" w:color="000000" w:sz="4" w:space="0"/>
            </w:tcBorders>
            <w:vAlign w:val="center"/>
          </w:tcPr>
          <w:p w14:paraId="2CDC40A1">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条款名称</w:t>
            </w:r>
          </w:p>
        </w:tc>
        <w:tc>
          <w:tcPr>
            <w:tcW w:w="6516" w:type="dxa"/>
            <w:tcBorders>
              <w:top w:val="single" w:color="auto" w:sz="12" w:space="0"/>
              <w:left w:val="single" w:color="000000" w:sz="4" w:space="0"/>
              <w:bottom w:val="single" w:color="000000" w:sz="4" w:space="0"/>
              <w:right w:val="single" w:color="auto" w:sz="12" w:space="0"/>
            </w:tcBorders>
            <w:vAlign w:val="center"/>
          </w:tcPr>
          <w:p w14:paraId="18A819BC">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编列内容</w:t>
            </w:r>
          </w:p>
        </w:tc>
      </w:tr>
      <w:tr w14:paraId="2F24E405">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2C006E64">
            <w:pPr>
              <w:pStyle w:val="15"/>
              <w:keepNext/>
              <w:pageBreakBefore w:val="0"/>
              <w:shd w:val="clear" w:color="auto" w:fill="auto"/>
              <w:kinsoku/>
              <w:wordWrap/>
              <w:overflowPunct/>
              <w:topLinePunct w:val="0"/>
              <w:bidi w:val="0"/>
              <w:spacing w:line="360" w:lineRule="exact"/>
              <w:ind w:firstLine="0"/>
              <w:jc w:val="center"/>
              <w:textAlignment w:val="auto"/>
              <w:rPr>
                <w:rFonts w:hint="eastAsia" w:ascii="宋体" w:hAnsi="宋体" w:eastAsia="宋体" w:cs="宋体"/>
                <w:sz w:val="21"/>
                <w:szCs w:val="21"/>
                <w:lang w:val="en-US" w:bidi="ar-SA"/>
              </w:rPr>
            </w:pPr>
            <w:r>
              <w:rPr>
                <w:rFonts w:hint="eastAsia" w:ascii="宋体" w:hAnsi="宋体" w:eastAsia="宋体" w:cs="宋体"/>
                <w:sz w:val="21"/>
                <w:szCs w:val="21"/>
              </w:rPr>
              <w:t>1.4.1</w:t>
            </w:r>
          </w:p>
        </w:tc>
        <w:tc>
          <w:tcPr>
            <w:tcW w:w="2006" w:type="dxa"/>
            <w:tcBorders>
              <w:top w:val="single" w:color="000000" w:sz="4" w:space="0"/>
              <w:left w:val="single" w:color="000000" w:sz="4" w:space="0"/>
              <w:bottom w:val="single" w:color="000000" w:sz="4" w:space="0"/>
              <w:right w:val="single" w:color="000000" w:sz="4" w:space="0"/>
            </w:tcBorders>
            <w:vAlign w:val="center"/>
          </w:tcPr>
          <w:p w14:paraId="2797B70A">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投标人资质条件、</w:t>
            </w:r>
          </w:p>
          <w:p w14:paraId="0255C3C4">
            <w:pPr>
              <w:pStyle w:val="15"/>
              <w:keepNext/>
              <w:pageBreakBefore w:val="0"/>
              <w:shd w:val="clear" w:color="auto" w:fill="auto"/>
              <w:kinsoku/>
              <w:wordWrap/>
              <w:overflowPunct/>
              <w:topLinePunct w:val="0"/>
              <w:bidi w:val="0"/>
              <w:spacing w:line="360" w:lineRule="exact"/>
              <w:ind w:firstLine="0"/>
              <w:jc w:val="center"/>
              <w:textAlignment w:val="auto"/>
              <w:rPr>
                <w:rFonts w:hint="eastAsia" w:ascii="宋体" w:hAnsi="宋体" w:eastAsia="宋体" w:cs="宋体"/>
                <w:sz w:val="21"/>
                <w:szCs w:val="21"/>
                <w:lang w:val="en-US" w:bidi="ar-SA"/>
              </w:rPr>
            </w:pPr>
            <w:r>
              <w:rPr>
                <w:rFonts w:hint="eastAsia" w:ascii="宋体" w:hAnsi="宋体" w:eastAsia="宋体" w:cs="宋体"/>
                <w:sz w:val="21"/>
                <w:szCs w:val="21"/>
              </w:rPr>
              <w:t>能力和信誉</w:t>
            </w:r>
          </w:p>
        </w:tc>
        <w:tc>
          <w:tcPr>
            <w:tcW w:w="6516" w:type="dxa"/>
            <w:tcBorders>
              <w:top w:val="single" w:color="000000" w:sz="4" w:space="0"/>
              <w:left w:val="single" w:color="000000" w:sz="4" w:space="0"/>
              <w:bottom w:val="single" w:color="000000" w:sz="4" w:space="0"/>
              <w:right w:val="single" w:color="auto" w:sz="12" w:space="0"/>
            </w:tcBorders>
            <w:vAlign w:val="center"/>
          </w:tcPr>
          <w:p w14:paraId="2F43F478">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资质条件：见附录1</w:t>
            </w:r>
          </w:p>
          <w:p w14:paraId="5D067743">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业绩要求：见附录2</w:t>
            </w:r>
          </w:p>
          <w:p w14:paraId="5C1A23C0">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信誉要求：见附录3</w:t>
            </w:r>
          </w:p>
          <w:p w14:paraId="71DA517E">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总监理工程师资格：见附录4</w:t>
            </w:r>
          </w:p>
          <w:p w14:paraId="5F753952">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其他要求：其他主要监理人员最低要求：见附录5</w:t>
            </w:r>
          </w:p>
        </w:tc>
      </w:tr>
      <w:tr w14:paraId="2CB477D6">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354C5681">
            <w:pPr>
              <w:pStyle w:val="15"/>
              <w:keepNext/>
              <w:pageBreakBefore w:val="0"/>
              <w:shd w:val="clear" w:color="auto" w:fill="auto"/>
              <w:kinsoku/>
              <w:wordWrap/>
              <w:overflowPunct/>
              <w:topLinePunct w:val="0"/>
              <w:bidi w:val="0"/>
              <w:spacing w:line="360" w:lineRule="exact"/>
              <w:ind w:firstLine="0"/>
              <w:jc w:val="center"/>
              <w:textAlignment w:val="auto"/>
              <w:rPr>
                <w:rFonts w:hint="eastAsia" w:ascii="宋体" w:hAnsi="宋体" w:eastAsia="宋体" w:cs="宋体"/>
                <w:sz w:val="21"/>
                <w:szCs w:val="21"/>
                <w:lang w:val="en-US" w:bidi="ar-SA"/>
              </w:rPr>
            </w:pPr>
            <w:r>
              <w:rPr>
                <w:rFonts w:hint="eastAsia" w:ascii="宋体" w:hAnsi="宋体" w:eastAsia="宋体" w:cs="宋体"/>
                <w:sz w:val="21"/>
                <w:szCs w:val="21"/>
              </w:rPr>
              <w:t>1.4.2</w:t>
            </w:r>
          </w:p>
        </w:tc>
        <w:tc>
          <w:tcPr>
            <w:tcW w:w="2006" w:type="dxa"/>
            <w:tcBorders>
              <w:top w:val="single" w:color="000000" w:sz="4" w:space="0"/>
              <w:left w:val="single" w:color="000000" w:sz="4" w:space="0"/>
              <w:bottom w:val="single" w:color="000000" w:sz="4" w:space="0"/>
              <w:right w:val="single" w:color="000000" w:sz="4" w:space="0"/>
            </w:tcBorders>
            <w:vAlign w:val="center"/>
          </w:tcPr>
          <w:p w14:paraId="4C9F5FAA">
            <w:pPr>
              <w:pStyle w:val="15"/>
              <w:keepNext/>
              <w:pageBreakBefore w:val="0"/>
              <w:shd w:val="clear" w:color="auto" w:fill="auto"/>
              <w:kinsoku/>
              <w:wordWrap/>
              <w:overflowPunct/>
              <w:topLinePunct w:val="0"/>
              <w:bidi w:val="0"/>
              <w:spacing w:line="360" w:lineRule="exact"/>
              <w:ind w:firstLine="0"/>
              <w:jc w:val="center"/>
              <w:textAlignment w:val="auto"/>
              <w:rPr>
                <w:rFonts w:hint="eastAsia" w:ascii="宋体" w:hAnsi="宋体" w:eastAsia="宋体" w:cs="宋体"/>
                <w:sz w:val="21"/>
                <w:szCs w:val="21"/>
                <w:lang w:val="en-US" w:bidi="ar-SA"/>
              </w:rPr>
            </w:pPr>
            <w:r>
              <w:rPr>
                <w:rFonts w:hint="eastAsia" w:ascii="宋体" w:hAnsi="宋体" w:eastAsia="宋体" w:cs="宋体"/>
                <w:sz w:val="21"/>
                <w:szCs w:val="21"/>
              </w:rPr>
              <w:t>是否接受联合体投标</w:t>
            </w:r>
          </w:p>
        </w:tc>
        <w:tc>
          <w:tcPr>
            <w:tcW w:w="6516" w:type="dxa"/>
            <w:tcBorders>
              <w:top w:val="single" w:color="000000" w:sz="4" w:space="0"/>
              <w:left w:val="single" w:color="000000" w:sz="4" w:space="0"/>
              <w:bottom w:val="single" w:color="000000" w:sz="4" w:space="0"/>
              <w:right w:val="single" w:color="auto" w:sz="12" w:space="0"/>
            </w:tcBorders>
            <w:vAlign w:val="center"/>
          </w:tcPr>
          <w:p w14:paraId="1925DD91">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□不接受</w:t>
            </w:r>
          </w:p>
          <w:p w14:paraId="5CB1D13A">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kern w:val="0"/>
                <w:sz w:val="21"/>
                <w:szCs w:val="21"/>
                <w:lang w:val="zh-CN"/>
              </w:rPr>
              <w:fldChar w:fldCharType="begin"/>
            </w:r>
            <w:r>
              <w:rPr>
                <w:rFonts w:hint="eastAsia" w:ascii="宋体" w:hAnsi="宋体" w:eastAsia="宋体" w:cs="宋体"/>
                <w:kern w:val="0"/>
                <w:sz w:val="21"/>
                <w:szCs w:val="21"/>
                <w:lang w:val="zh-CN"/>
              </w:rPr>
              <w:instrText xml:space="preserve"> eq \o\ac(</w:instrText>
            </w:r>
            <w:r>
              <w:rPr>
                <w:rFonts w:hint="eastAsia" w:ascii="宋体" w:hAnsi="宋体" w:eastAsia="宋体" w:cs="宋体"/>
                <w:kern w:val="0"/>
                <w:position w:val="-4"/>
                <w:sz w:val="31"/>
                <w:szCs w:val="21"/>
                <w:lang w:val="zh-CN"/>
              </w:rPr>
              <w:instrText xml:space="preserve">□</w:instrText>
            </w:r>
            <w:r>
              <w:rPr>
                <w:rFonts w:hint="eastAsia" w:ascii="宋体" w:hAnsi="宋体" w:eastAsia="宋体" w:cs="宋体"/>
                <w:kern w:val="0"/>
                <w:position w:val="0"/>
                <w:sz w:val="21"/>
                <w:szCs w:val="21"/>
                <w:lang w:val="zh-CN"/>
              </w:rPr>
              <w:instrText xml:space="preserve">,√)</w:instrText>
            </w:r>
            <w:r>
              <w:rPr>
                <w:rFonts w:hint="eastAsia" w:ascii="宋体" w:hAnsi="宋体" w:eastAsia="宋体" w:cs="宋体"/>
                <w:kern w:val="0"/>
                <w:sz w:val="21"/>
                <w:szCs w:val="21"/>
                <w:lang w:val="zh-CN"/>
              </w:rPr>
              <w:fldChar w:fldCharType="end"/>
            </w:r>
            <w:r>
              <w:rPr>
                <w:rFonts w:hint="eastAsia" w:ascii="宋体" w:hAnsi="宋体" w:eastAsia="宋体" w:cs="宋体"/>
                <w:sz w:val="21"/>
                <w:szCs w:val="21"/>
              </w:rPr>
              <w:t>接受，联合体投标的，应满足下列要求：见第一章招标公告</w:t>
            </w:r>
          </w:p>
        </w:tc>
      </w:tr>
      <w:tr w14:paraId="2975D0F5">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22661773">
            <w:pPr>
              <w:pStyle w:val="15"/>
              <w:keepNext/>
              <w:pageBreakBefore w:val="0"/>
              <w:shd w:val="clear" w:color="auto" w:fill="auto"/>
              <w:kinsoku/>
              <w:wordWrap/>
              <w:overflowPunct/>
              <w:topLinePunct w:val="0"/>
              <w:bidi w:val="0"/>
              <w:spacing w:line="360" w:lineRule="exact"/>
              <w:ind w:firstLine="0"/>
              <w:jc w:val="center"/>
              <w:textAlignment w:val="auto"/>
              <w:rPr>
                <w:rFonts w:hint="eastAsia" w:ascii="宋体" w:hAnsi="宋体" w:eastAsia="宋体" w:cs="宋体"/>
                <w:sz w:val="21"/>
                <w:szCs w:val="21"/>
                <w:lang w:val="en-US" w:bidi="ar-SA"/>
              </w:rPr>
            </w:pPr>
            <w:r>
              <w:rPr>
                <w:rFonts w:hint="eastAsia" w:ascii="宋体" w:hAnsi="宋体" w:eastAsia="宋体" w:cs="宋体"/>
                <w:sz w:val="21"/>
                <w:szCs w:val="21"/>
              </w:rPr>
              <w:t>1.4.3</w:t>
            </w:r>
          </w:p>
        </w:tc>
        <w:tc>
          <w:tcPr>
            <w:tcW w:w="2006" w:type="dxa"/>
            <w:tcBorders>
              <w:top w:val="single" w:color="000000" w:sz="4" w:space="0"/>
              <w:left w:val="single" w:color="000000" w:sz="4" w:space="0"/>
              <w:bottom w:val="single" w:color="000000" w:sz="4" w:space="0"/>
              <w:right w:val="single" w:color="000000" w:sz="4" w:space="0"/>
            </w:tcBorders>
            <w:vAlign w:val="center"/>
          </w:tcPr>
          <w:p w14:paraId="419E4DED">
            <w:pPr>
              <w:pStyle w:val="15"/>
              <w:keepNext/>
              <w:pageBreakBefore w:val="0"/>
              <w:shd w:val="clear" w:color="auto" w:fill="auto"/>
              <w:kinsoku/>
              <w:wordWrap/>
              <w:overflowPunct/>
              <w:topLinePunct w:val="0"/>
              <w:bidi w:val="0"/>
              <w:spacing w:line="360" w:lineRule="exact"/>
              <w:ind w:firstLine="0"/>
              <w:jc w:val="center"/>
              <w:textAlignment w:val="auto"/>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投标人不得存在的</w:t>
            </w:r>
          </w:p>
          <w:p w14:paraId="71204AF2">
            <w:pPr>
              <w:pStyle w:val="15"/>
              <w:keepNext/>
              <w:pageBreakBefore w:val="0"/>
              <w:shd w:val="clear" w:color="auto" w:fill="auto"/>
              <w:kinsoku/>
              <w:wordWrap/>
              <w:overflowPunct/>
              <w:topLinePunct w:val="0"/>
              <w:bidi w:val="0"/>
              <w:spacing w:line="360" w:lineRule="exact"/>
              <w:ind w:firstLine="0"/>
              <w:jc w:val="center"/>
              <w:textAlignment w:val="auto"/>
              <w:rPr>
                <w:rFonts w:hint="eastAsia" w:ascii="宋体" w:hAnsi="宋体" w:eastAsia="宋体" w:cs="宋体"/>
                <w:sz w:val="21"/>
                <w:szCs w:val="21"/>
                <w:lang w:val="en-US" w:bidi="ar-SA"/>
              </w:rPr>
            </w:pPr>
            <w:r>
              <w:rPr>
                <w:rFonts w:hint="eastAsia" w:ascii="宋体" w:hAnsi="宋体" w:eastAsia="宋体" w:cs="宋体"/>
                <w:sz w:val="21"/>
                <w:szCs w:val="21"/>
              </w:rPr>
              <w:t>其他关联情形</w:t>
            </w:r>
          </w:p>
        </w:tc>
        <w:tc>
          <w:tcPr>
            <w:tcW w:w="6516" w:type="dxa"/>
            <w:tcBorders>
              <w:top w:val="single" w:color="000000" w:sz="4" w:space="0"/>
              <w:left w:val="single" w:color="000000" w:sz="4" w:space="0"/>
              <w:bottom w:val="single" w:color="000000" w:sz="4" w:space="0"/>
              <w:right w:val="single" w:color="auto" w:sz="12" w:space="0"/>
            </w:tcBorders>
            <w:vAlign w:val="center"/>
          </w:tcPr>
          <w:p w14:paraId="7EE81B8C">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kern w:val="0"/>
                <w:sz w:val="21"/>
                <w:szCs w:val="21"/>
                <w:lang w:val="zh-CN"/>
              </w:rPr>
              <w:t>/</w:t>
            </w:r>
          </w:p>
        </w:tc>
      </w:tr>
      <w:tr w14:paraId="320CA894">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auto" w:sz="12" w:space="0"/>
              <w:right w:val="single" w:color="000000" w:sz="4" w:space="0"/>
            </w:tcBorders>
            <w:vAlign w:val="center"/>
          </w:tcPr>
          <w:p w14:paraId="27DE0DAA">
            <w:pPr>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1.4.4</w:t>
            </w:r>
          </w:p>
        </w:tc>
        <w:tc>
          <w:tcPr>
            <w:tcW w:w="2006" w:type="dxa"/>
            <w:tcBorders>
              <w:top w:val="single" w:color="000000" w:sz="4" w:space="0"/>
              <w:left w:val="single" w:color="000000" w:sz="4" w:space="0"/>
              <w:bottom w:val="single" w:color="auto" w:sz="12" w:space="0"/>
              <w:right w:val="single" w:color="000000" w:sz="4" w:space="0"/>
            </w:tcBorders>
            <w:vAlign w:val="center"/>
          </w:tcPr>
          <w:p w14:paraId="0CBEF140">
            <w:pPr>
              <w:pStyle w:val="15"/>
              <w:keepNext/>
              <w:pageBreakBefore w:val="0"/>
              <w:shd w:val="clear" w:color="auto" w:fill="auto"/>
              <w:kinsoku/>
              <w:wordWrap/>
              <w:overflowPunct/>
              <w:topLinePunct w:val="0"/>
              <w:bidi w:val="0"/>
              <w:spacing w:line="360" w:lineRule="exact"/>
              <w:ind w:firstLine="0"/>
              <w:jc w:val="center"/>
              <w:textAlignment w:val="auto"/>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投标人不得存在的</w:t>
            </w:r>
          </w:p>
          <w:p w14:paraId="1439EA76">
            <w:pPr>
              <w:pStyle w:val="15"/>
              <w:keepNext/>
              <w:pageBreakBefore w:val="0"/>
              <w:shd w:val="clear" w:color="auto" w:fill="auto"/>
              <w:kinsoku/>
              <w:wordWrap/>
              <w:overflowPunct/>
              <w:topLinePunct w:val="0"/>
              <w:bidi w:val="0"/>
              <w:spacing w:line="360" w:lineRule="exact"/>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bidi="ar-SA"/>
              </w:rPr>
              <w:t>其他不良状况或不良信用记录</w:t>
            </w:r>
          </w:p>
        </w:tc>
        <w:tc>
          <w:tcPr>
            <w:tcW w:w="6516" w:type="dxa"/>
            <w:tcBorders>
              <w:top w:val="single" w:color="000000" w:sz="4" w:space="0"/>
              <w:left w:val="single" w:color="000000" w:sz="4" w:space="0"/>
              <w:bottom w:val="single" w:color="auto" w:sz="12" w:space="0"/>
              <w:right w:val="single" w:color="auto" w:sz="12" w:space="0"/>
            </w:tcBorders>
            <w:vAlign w:val="center"/>
          </w:tcPr>
          <w:p w14:paraId="0CE46BEA">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kern w:val="0"/>
                <w:sz w:val="21"/>
                <w:szCs w:val="21"/>
                <w:lang w:val="zh-CN"/>
              </w:rPr>
              <w:t>/</w:t>
            </w:r>
          </w:p>
        </w:tc>
      </w:tr>
    </w:tbl>
    <w:p w14:paraId="2AAC14ED">
      <w:pPr>
        <w:pageBreakBefore w:val="0"/>
        <w:kinsoku/>
        <w:wordWrap/>
        <w:overflowPunct/>
        <w:topLinePunct w:val="0"/>
        <w:bidi w:val="0"/>
        <w:spacing w:line="360" w:lineRule="exact"/>
        <w:textAlignment w:val="auto"/>
        <w:rPr>
          <w:rFonts w:hint="eastAsia" w:ascii="宋体" w:hAnsi="宋体" w:eastAsia="宋体" w:cs="宋体"/>
          <w:sz w:val="21"/>
          <w:szCs w:val="21"/>
        </w:rPr>
      </w:pPr>
      <w:bookmarkStart w:id="0" w:name="_Toc179632551"/>
      <w:bookmarkStart w:id="1" w:name="_Toc144974502"/>
      <w:bookmarkStart w:id="2" w:name="_Toc152042310"/>
      <w:bookmarkStart w:id="3" w:name="_Toc152045534"/>
      <w:bookmarkStart w:id="4" w:name="_Toc502741808"/>
      <w:r>
        <w:rPr>
          <w:rFonts w:hint="eastAsia" w:ascii="宋体" w:hAnsi="宋体" w:eastAsia="宋体" w:cs="宋体"/>
          <w:sz w:val="21"/>
          <w:szCs w:val="21"/>
        </w:rPr>
        <w:t>1.4投标人资格要求（适用于未进行资格预审的）</w:t>
      </w:r>
      <w:bookmarkEnd w:id="0"/>
      <w:bookmarkEnd w:id="1"/>
      <w:bookmarkEnd w:id="2"/>
      <w:bookmarkEnd w:id="3"/>
      <w:bookmarkEnd w:id="4"/>
    </w:p>
    <w:p w14:paraId="26AB95CD">
      <w:pPr>
        <w:pageBreakBefore w:val="0"/>
        <w:kinsoku/>
        <w:wordWrap/>
        <w:overflowPunct/>
        <w:topLinePunct w:val="0"/>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1.4.1投标人应具备承担本标段施工监理的资质条件、能力和信誉。</w:t>
      </w:r>
    </w:p>
    <w:p w14:paraId="1F9E9AD0">
      <w:pPr>
        <w:pageBreakBefore w:val="0"/>
        <w:kinsoku/>
        <w:wordWrap/>
        <w:overflowPunct/>
        <w:topLinePunct w:val="0"/>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(l）资质要求：见投标人须知前附表；</w:t>
      </w:r>
    </w:p>
    <w:p w14:paraId="22A5E007">
      <w:pPr>
        <w:pageBreakBefore w:val="0"/>
        <w:kinsoku/>
        <w:wordWrap/>
        <w:overflowPunct/>
        <w:topLinePunct w:val="0"/>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(2）业绩要求：见投标人须知前附表；</w:t>
      </w:r>
    </w:p>
    <w:p w14:paraId="50902470">
      <w:pPr>
        <w:pageBreakBefore w:val="0"/>
        <w:kinsoku/>
        <w:wordWrap/>
        <w:overflowPunct/>
        <w:topLinePunct w:val="0"/>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(3）信誉要求：见投标人须知前附表；</w:t>
      </w:r>
    </w:p>
    <w:p w14:paraId="44D2C9DC">
      <w:pPr>
        <w:pageBreakBefore w:val="0"/>
        <w:kinsoku/>
        <w:wordWrap/>
        <w:overflowPunct/>
        <w:topLinePunct w:val="0"/>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(4）总监理工程师资格：见投标人须知前附表。</w:t>
      </w:r>
    </w:p>
    <w:p w14:paraId="6596C959">
      <w:pPr>
        <w:pageBreakBefore w:val="0"/>
        <w:kinsoku/>
        <w:wordWrap/>
        <w:overflowPunct/>
        <w:topLinePunct w:val="0"/>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(5）其他要求：见投标人须知前附表。</w:t>
      </w:r>
    </w:p>
    <w:p w14:paraId="64B73FA9">
      <w:pPr>
        <w:pageBreakBefore w:val="0"/>
        <w:kinsoku/>
        <w:wordWrap/>
        <w:overflowPunct/>
        <w:topLinePunct w:val="0"/>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需要提交的相关证明材料见本章第3.5款的规定。</w:t>
      </w:r>
    </w:p>
    <w:p w14:paraId="6512188C">
      <w:pPr>
        <w:pageBreakBefore w:val="0"/>
        <w:kinsoku/>
        <w:wordWrap/>
        <w:overflowPunct/>
        <w:topLinePunct w:val="0"/>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1.4.2投标人须知前附表规定接受联合体投标的，联合体除应符合本章第1.4.1项和投标人须知前附表的要求外，还应遵守以下规定：</w:t>
      </w:r>
    </w:p>
    <w:p w14:paraId="0244B11E">
      <w:pPr>
        <w:pageBreakBefore w:val="0"/>
        <w:kinsoku/>
        <w:wordWrap/>
        <w:overflowPunct/>
        <w:topLinePunct w:val="0"/>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(1）联合体各方应按招标文件提供的格式签订联合体协议书，明确联合体牵头人和各方权利义务，并承诺就中标项目向招标人承担连带责任；</w:t>
      </w:r>
    </w:p>
    <w:p w14:paraId="204B81D9">
      <w:pPr>
        <w:pageBreakBefore w:val="0"/>
        <w:kinsoku/>
        <w:wordWrap/>
        <w:overflowPunct/>
        <w:topLinePunct w:val="0"/>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(2）由同一专业的单位组成的联合体，按照资质等级较低的单位确定资质等级；</w:t>
      </w:r>
    </w:p>
    <w:p w14:paraId="0BC13349">
      <w:pPr>
        <w:pageBreakBefore w:val="0"/>
        <w:kinsoku/>
        <w:wordWrap/>
        <w:overflowPunct/>
        <w:topLinePunct w:val="0"/>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(3）联合体各方不得再以自己名义单独或参加其他联合体在同一标段中投标；</w:t>
      </w:r>
    </w:p>
    <w:p w14:paraId="0DD92CA6">
      <w:pPr>
        <w:pageBreakBefore w:val="0"/>
        <w:kinsoku/>
        <w:wordWrap/>
        <w:overflowPunct/>
        <w:topLinePunct w:val="0"/>
        <w:bidi w:val="0"/>
        <w:spacing w:line="360" w:lineRule="exact"/>
        <w:ind w:firstLine="315" w:firstLineChars="150"/>
        <w:textAlignment w:val="auto"/>
        <w:rPr>
          <w:rFonts w:hint="eastAsia" w:ascii="宋体" w:hAnsi="宋体" w:eastAsia="宋体" w:cs="宋体"/>
          <w:color w:val="000000"/>
          <w:sz w:val="21"/>
          <w:szCs w:val="21"/>
        </w:rPr>
      </w:pPr>
      <w:r>
        <w:rPr>
          <w:rFonts w:hint="eastAsia" w:ascii="宋体" w:hAnsi="宋体" w:eastAsia="宋体" w:cs="宋体"/>
          <w:sz w:val="21"/>
          <w:szCs w:val="21"/>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5F928776">
      <w:pPr>
        <w:pageBreakBefore w:val="0"/>
        <w:kinsoku/>
        <w:wordWrap/>
        <w:overflowPunct/>
        <w:topLinePunct w:val="0"/>
        <w:bidi w:val="0"/>
        <w:spacing w:line="36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（5）尽管委任了联合体牵头人，但联合体各成员在投标、签订合同与履行合同过程中，仍负有连带的和各自的法律责任。</w:t>
      </w:r>
    </w:p>
    <w:p w14:paraId="1363ABB0">
      <w:pPr>
        <w:pageBreakBefore w:val="0"/>
        <w:kinsoku/>
        <w:wordWrap/>
        <w:overflowPunct/>
        <w:topLinePunct w:val="0"/>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1.4.3</w:t>
      </w:r>
      <w:r>
        <w:rPr>
          <w:rFonts w:hint="eastAsia" w:ascii="宋体" w:hAnsi="宋体" w:eastAsia="宋体" w:cs="宋体"/>
          <w:sz w:val="21"/>
          <w:szCs w:val="21"/>
        </w:rPr>
        <w:t>投标人（包括联合体各成员）不得与本标段相关单位存在下列关联情形</w:t>
      </w:r>
      <w:r>
        <w:rPr>
          <w:rFonts w:hint="eastAsia" w:ascii="宋体" w:hAnsi="宋体" w:eastAsia="宋体" w:cs="宋体"/>
          <w:color w:val="000000"/>
          <w:sz w:val="21"/>
          <w:szCs w:val="21"/>
        </w:rPr>
        <w:t>：</w:t>
      </w:r>
    </w:p>
    <w:p w14:paraId="71BE2F0A">
      <w:pPr>
        <w:pageBreakBefore w:val="0"/>
        <w:kinsoku/>
        <w:wordWrap/>
        <w:overflowPunct/>
        <w:topLinePunct w:val="0"/>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(l）为招标人不具有独立法人资格的附属机构（单位）；</w:t>
      </w:r>
    </w:p>
    <w:p w14:paraId="281F8400">
      <w:pPr>
        <w:pageBreakBefore w:val="0"/>
        <w:kinsoku/>
        <w:wordWrap/>
        <w:overflowPunct/>
        <w:topLinePunct w:val="0"/>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(2）与招标人存在利害关系且可能影响招标公正性；</w:t>
      </w:r>
    </w:p>
    <w:p w14:paraId="5C17C718">
      <w:pPr>
        <w:pageBreakBefore w:val="0"/>
        <w:kinsoku/>
        <w:wordWrap/>
        <w:overflowPunct/>
        <w:topLinePunct w:val="0"/>
        <w:bidi w:val="0"/>
        <w:spacing w:line="36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（3）与本标段的其他投标人同为一个单位负责人；</w:t>
      </w:r>
    </w:p>
    <w:p w14:paraId="173DCE6B">
      <w:pPr>
        <w:pageBreakBefore w:val="0"/>
        <w:kinsoku/>
        <w:wordWrap/>
        <w:overflowPunct/>
        <w:topLinePunct w:val="0"/>
        <w:bidi w:val="0"/>
        <w:spacing w:line="36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（4）与本标段的其他投标人存在控股、管理关系；</w:t>
      </w:r>
    </w:p>
    <w:p w14:paraId="3924AB86">
      <w:pPr>
        <w:pageBreakBefore w:val="0"/>
        <w:kinsoku/>
        <w:wordWrap/>
        <w:overflowPunct/>
        <w:topLinePunct w:val="0"/>
        <w:bidi w:val="0"/>
        <w:spacing w:line="36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（5）为本标段的代建人；</w:t>
      </w:r>
    </w:p>
    <w:p w14:paraId="4ED5068D">
      <w:pPr>
        <w:pageBreakBefore w:val="0"/>
        <w:kinsoku/>
        <w:wordWrap/>
        <w:overflowPunct/>
        <w:topLinePunct w:val="0"/>
        <w:bidi w:val="0"/>
        <w:spacing w:line="36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（6）为本标段的招标代理机构；</w:t>
      </w:r>
    </w:p>
    <w:p w14:paraId="5D692504">
      <w:pPr>
        <w:pageBreakBefore w:val="0"/>
        <w:kinsoku/>
        <w:wordWrap/>
        <w:overflowPunct/>
        <w:topLinePunct w:val="0"/>
        <w:bidi w:val="0"/>
        <w:spacing w:line="36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（7）与本标段的代建人或招标代理机构同为一个法定代表人；</w:t>
      </w:r>
    </w:p>
    <w:p w14:paraId="25BDE378">
      <w:pPr>
        <w:pageBreakBefore w:val="0"/>
        <w:kinsoku/>
        <w:wordWrap/>
        <w:overflowPunct/>
        <w:topLinePunct w:val="0"/>
        <w:bidi w:val="0"/>
        <w:spacing w:line="36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（8）与本标段的代建人或招标代理机构存在控股或参股关系；</w:t>
      </w:r>
    </w:p>
    <w:p w14:paraId="00CC4458">
      <w:pPr>
        <w:pageBreakBefore w:val="0"/>
        <w:kinsoku/>
        <w:wordWrap/>
        <w:overflowPunct/>
        <w:topLinePunct w:val="0"/>
        <w:bidi w:val="0"/>
        <w:spacing w:line="36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color w:val="000000"/>
          <w:sz w:val="21"/>
          <w:szCs w:val="21"/>
        </w:rPr>
        <w:t>与本标段对应工程的施工承包人以及建筑材料、建筑构配件和设备供应商有隶属关系或其他利害关系；</w:t>
      </w:r>
    </w:p>
    <w:p w14:paraId="37669DF7">
      <w:pPr>
        <w:pageBreakBefore w:val="0"/>
        <w:kinsoku/>
        <w:wordWrap/>
        <w:overflowPunct/>
        <w:topLinePunct w:val="0"/>
        <w:bidi w:val="0"/>
        <w:spacing w:line="36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（10）法律法规或投标人须知前附表规定的其他情形。</w:t>
      </w:r>
    </w:p>
    <w:p w14:paraId="76C6D6D5">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1.4.4投标人（包括联合体各成员）不得存在下列不良状况或不良信用记录：</w:t>
      </w:r>
    </w:p>
    <w:p w14:paraId="452CA755">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（1）被省级及以上交通运输主管部门取消招标项目所在地的投标资格且处于有效期内；</w:t>
      </w:r>
    </w:p>
    <w:p w14:paraId="5D1C4EC1">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（2）被责令停业，暂扣或吊销执照，或吊销资质证书；</w:t>
      </w:r>
    </w:p>
    <w:p w14:paraId="22062B04">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（3）进入清算程序，或被宣告破产，或其他丧失履约能力的情形；</w:t>
      </w:r>
    </w:p>
    <w:p w14:paraId="61ACF751">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（4）在国家企业信用信息公示系统（http://www.gsxt.gov.cn/）中被列入严重违法失信企业名单；</w:t>
      </w:r>
    </w:p>
    <w:p w14:paraId="4398C77A">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（5）在“信用中国”网站（http://www.creditchina.gov.cn/）中被列入失信被执行人名单；</w:t>
      </w:r>
    </w:p>
    <w:p w14:paraId="5729601F">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（6）投标人或其法定代表人、拟委任的</w:t>
      </w:r>
      <w:r>
        <w:rPr>
          <w:rFonts w:hint="eastAsia" w:ascii="宋体" w:hAnsi="宋体" w:eastAsia="宋体" w:cs="宋体"/>
          <w:color w:val="000000"/>
          <w:sz w:val="21"/>
          <w:szCs w:val="21"/>
        </w:rPr>
        <w:t>总监理工程师在近三年内有行贿犯罪行为的</w:t>
      </w:r>
      <w:r>
        <w:rPr>
          <w:rFonts w:hint="eastAsia" w:ascii="宋体" w:hAnsi="宋体" w:eastAsia="宋体" w:cs="宋体"/>
          <w:sz w:val="21"/>
          <w:szCs w:val="21"/>
        </w:rPr>
        <w:t>；</w:t>
      </w:r>
    </w:p>
    <w:p w14:paraId="69596611">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（7）法律法规或投标人须知前附表规定的其他情形。</w:t>
      </w:r>
    </w:p>
    <w:p w14:paraId="25AD8E17">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1.4.5投标人（包括联合体各成员）应进入交通运输部“全国公路建设市场监督管理系统（https://hwdms.mot.gov.cn</w:t>
      </w:r>
      <w:r>
        <w:rPr>
          <w:rFonts w:hint="eastAsia" w:ascii="宋体" w:hAnsi="宋体" w:eastAsia="宋体" w:cs="宋体"/>
          <w:sz w:val="21"/>
          <w:szCs w:val="21"/>
          <w:lang w:eastAsia="en-US"/>
        </w:rPr>
        <w:t>)</w:t>
      </w:r>
      <w:r>
        <w:rPr>
          <w:rFonts w:hint="eastAsia" w:ascii="宋体" w:hAnsi="宋体" w:eastAsia="宋体" w:cs="宋体"/>
          <w:sz w:val="21"/>
          <w:szCs w:val="21"/>
        </w:rPr>
        <w:t>”中的公路工程施工监理资质企业名录，且投标人名称和资质与该名录中的相应企业名称和资质完全一致。投标人不满足本项规定条件的，将被否决投标。</w:t>
      </w:r>
      <w:r>
        <w:rPr>
          <w:rStyle w:val="13"/>
          <w:rFonts w:hint="eastAsia" w:ascii="宋体" w:hAnsi="宋体" w:eastAsia="宋体" w:cs="宋体"/>
          <w:sz w:val="21"/>
          <w:szCs w:val="21"/>
        </w:rPr>
        <w:footnoteReference w:id="0"/>
      </w:r>
    </w:p>
    <w:p w14:paraId="0E30E21F">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p>
    <w:p w14:paraId="045F89F8">
      <w:pPr>
        <w:pageBreakBefore w:val="0"/>
        <w:tabs>
          <w:tab w:val="left" w:pos="1053"/>
        </w:tabs>
        <w:kinsoku/>
        <w:wordWrap/>
        <w:overflowPunct/>
        <w:topLinePunct w:val="0"/>
        <w:bidi w:val="0"/>
        <w:spacing w:line="360" w:lineRule="exact"/>
        <w:ind w:firstLine="420" w:firstLineChars="200"/>
        <w:jc w:val="left"/>
        <w:textAlignment w:val="auto"/>
        <w:rPr>
          <w:rFonts w:hint="eastAsia" w:ascii="宋体" w:hAnsi="宋体" w:eastAsia="宋体" w:cs="宋体"/>
          <w:color w:val="000000"/>
          <w:kern w:val="0"/>
          <w:sz w:val="21"/>
          <w:szCs w:val="21"/>
          <w:shd w:val="clear" w:color="auto" w:fill="FFFFFF"/>
          <w:lang w:bidi="zh-CN"/>
        </w:rPr>
      </w:pPr>
    </w:p>
    <w:p w14:paraId="603CA63D">
      <w:pPr>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11C26661">
      <w:pPr>
        <w:pageBreakBefore w:val="0"/>
        <w:kinsoku/>
        <w:wordWrap/>
        <w:overflowPunct/>
        <w:topLinePunct w:val="0"/>
        <w:bidi w:val="0"/>
        <w:spacing w:before="312" w:beforeLines="100" w:line="360" w:lineRule="exact"/>
        <w:jc w:val="center"/>
        <w:textAlignment w:val="auto"/>
        <w:outlineLvl w:val="1"/>
        <w:rPr>
          <w:rFonts w:hint="eastAsia" w:ascii="宋体" w:hAnsi="宋体" w:eastAsia="宋体" w:cs="宋体"/>
          <w:sz w:val="21"/>
          <w:szCs w:val="21"/>
        </w:rPr>
      </w:pPr>
      <w:bookmarkStart w:id="5" w:name="_Toc11229"/>
      <w:r>
        <w:rPr>
          <w:rFonts w:hint="eastAsia" w:ascii="宋体" w:hAnsi="宋体" w:eastAsia="宋体" w:cs="宋体"/>
          <w:sz w:val="21"/>
          <w:szCs w:val="21"/>
        </w:rPr>
        <w:t>附录1资格审查条件（资质最低要求）</w:t>
      </w:r>
      <w:bookmarkEnd w:id="5"/>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8196"/>
      </w:tblGrid>
      <w:tr w14:paraId="2746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20" w:type="dxa"/>
            <w:tcBorders>
              <w:top w:val="single" w:color="auto" w:sz="12" w:space="0"/>
              <w:left w:val="single" w:color="auto" w:sz="12" w:space="0"/>
            </w:tcBorders>
            <w:vAlign w:val="center"/>
          </w:tcPr>
          <w:p w14:paraId="69DE4026">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标段</w:t>
            </w:r>
          </w:p>
        </w:tc>
        <w:tc>
          <w:tcPr>
            <w:tcW w:w="8196" w:type="dxa"/>
            <w:tcBorders>
              <w:top w:val="single" w:color="auto" w:sz="12" w:space="0"/>
              <w:right w:val="single" w:color="auto" w:sz="12" w:space="0"/>
            </w:tcBorders>
            <w:vAlign w:val="center"/>
          </w:tcPr>
          <w:p w14:paraId="0E4FD264">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监理企业资质等级要求</w:t>
            </w:r>
          </w:p>
        </w:tc>
      </w:tr>
      <w:tr w14:paraId="79E2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20" w:type="dxa"/>
            <w:tcBorders>
              <w:left w:val="single" w:color="auto" w:sz="12" w:space="0"/>
              <w:bottom w:val="single" w:color="auto" w:sz="12" w:space="0"/>
            </w:tcBorders>
            <w:vAlign w:val="center"/>
          </w:tcPr>
          <w:p w14:paraId="69B07C95">
            <w:pPr>
              <w:pStyle w:val="4"/>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JL02</w:t>
            </w:r>
          </w:p>
        </w:tc>
        <w:tc>
          <w:tcPr>
            <w:tcW w:w="8196" w:type="dxa"/>
            <w:tcBorders>
              <w:bottom w:val="single" w:color="auto" w:sz="12" w:space="0"/>
              <w:right w:val="single" w:color="auto" w:sz="12" w:space="0"/>
            </w:tcBorders>
            <w:vAlign w:val="center"/>
          </w:tcPr>
          <w:p w14:paraId="53A0308C">
            <w:pPr>
              <w:pageBreakBefore w:val="0"/>
              <w:kinsoku/>
              <w:wordWrap/>
              <w:overflowPunct/>
              <w:topLinePunct w:val="0"/>
              <w:bidi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交通运输主管部门核发的公路工程甲级监理资质；</w:t>
            </w:r>
          </w:p>
          <w:p w14:paraId="43734C1E">
            <w:pPr>
              <w:pageBreakBefore w:val="0"/>
              <w:kinsoku/>
              <w:wordWrap/>
              <w:overflowPunct/>
              <w:topLinePunct w:val="0"/>
              <w:bidi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交通运输主管部门核发的公路机电工程专项监理资质；</w:t>
            </w:r>
          </w:p>
          <w:p w14:paraId="393BEBE6">
            <w:pPr>
              <w:pageBreakBefore w:val="0"/>
              <w:kinsoku/>
              <w:wordWrap/>
              <w:overflowPunct/>
              <w:topLinePunct w:val="0"/>
              <w:bidi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（3）建设行政主管部门核发的房屋建筑工程乙级监理资质；</w:t>
            </w:r>
          </w:p>
          <w:p w14:paraId="4AD59798">
            <w:pPr>
              <w:pageBreakBefore w:val="0"/>
              <w:kinsoku/>
              <w:wordWrap/>
              <w:overflowPunct/>
              <w:topLinePunct w:val="0"/>
              <w:bidi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（4）建设行政主管部门核发的化工石油工程专业乙级监理资质；</w:t>
            </w:r>
          </w:p>
          <w:p w14:paraId="7E14AA9C">
            <w:pPr>
              <w:pageBreakBefore w:val="0"/>
              <w:kinsoku/>
              <w:wordWrap/>
              <w:overflowPunct/>
              <w:topLinePunct w:val="0"/>
              <w:bidi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（5）交通运输主管部门核发的公路工程质量检测机构乙级资质。</w:t>
            </w:r>
          </w:p>
        </w:tc>
      </w:tr>
    </w:tbl>
    <w:p w14:paraId="75188942">
      <w:pPr>
        <w:pageBreakBefore w:val="0"/>
        <w:kinsoku/>
        <w:wordWrap/>
        <w:overflowPunct/>
        <w:topLinePunct w:val="0"/>
        <w:bidi w:val="0"/>
        <w:spacing w:before="312" w:beforeLines="100" w:line="360" w:lineRule="exact"/>
        <w:jc w:val="center"/>
        <w:textAlignment w:val="auto"/>
        <w:outlineLvl w:val="1"/>
        <w:rPr>
          <w:rFonts w:hint="eastAsia" w:ascii="宋体" w:hAnsi="宋体" w:eastAsia="宋体" w:cs="宋体"/>
          <w:sz w:val="21"/>
          <w:szCs w:val="21"/>
        </w:rPr>
      </w:pPr>
      <w:bookmarkStart w:id="6" w:name="_Toc12784"/>
      <w:r>
        <w:rPr>
          <w:rFonts w:hint="eastAsia" w:ascii="宋体" w:hAnsi="宋体" w:eastAsia="宋体" w:cs="宋体"/>
          <w:sz w:val="21"/>
          <w:szCs w:val="21"/>
        </w:rPr>
        <w:t>附录2资格审查条件（业绩最低要求）</w:t>
      </w:r>
      <w:bookmarkEnd w:id="6"/>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8168"/>
      </w:tblGrid>
      <w:tr w14:paraId="4E64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353" w:type="dxa"/>
            <w:tcBorders>
              <w:top w:val="single" w:color="auto" w:sz="12" w:space="0"/>
              <w:left w:val="single" w:color="auto" w:sz="12" w:space="0"/>
            </w:tcBorders>
            <w:vAlign w:val="center"/>
          </w:tcPr>
          <w:p w14:paraId="49569818">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标段</w:t>
            </w:r>
          </w:p>
        </w:tc>
        <w:tc>
          <w:tcPr>
            <w:tcW w:w="8168" w:type="dxa"/>
            <w:tcBorders>
              <w:top w:val="single" w:color="auto" w:sz="12" w:space="0"/>
              <w:right w:val="single" w:color="auto" w:sz="12" w:space="0"/>
            </w:tcBorders>
            <w:vAlign w:val="center"/>
          </w:tcPr>
          <w:p w14:paraId="1A15B8F2">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业绩要求</w:t>
            </w:r>
          </w:p>
        </w:tc>
      </w:tr>
      <w:tr w14:paraId="7590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53" w:type="dxa"/>
            <w:tcBorders>
              <w:left w:val="single" w:color="auto" w:sz="12" w:space="0"/>
              <w:bottom w:val="single" w:color="auto" w:sz="12" w:space="0"/>
            </w:tcBorders>
            <w:vAlign w:val="center"/>
          </w:tcPr>
          <w:p w14:paraId="10437529">
            <w:pPr>
              <w:pStyle w:val="4"/>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JL02</w:t>
            </w:r>
          </w:p>
        </w:tc>
        <w:tc>
          <w:tcPr>
            <w:tcW w:w="8168" w:type="dxa"/>
            <w:tcBorders>
              <w:bottom w:val="single" w:color="auto" w:sz="12" w:space="0"/>
              <w:right w:val="single" w:color="auto" w:sz="12" w:space="0"/>
            </w:tcBorders>
            <w:vAlign w:val="center"/>
          </w:tcPr>
          <w:p w14:paraId="67D06FD9">
            <w:pPr>
              <w:pageBreakBefore w:val="0"/>
              <w:widowControl/>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投标人（如为联合体，指联合体所有成员整体）2020年1月1日至今（以交工时间为准）累计完成过100公里高速公路施工监理业绩。</w:t>
            </w:r>
          </w:p>
          <w:p w14:paraId="1DA59D4B">
            <w:pPr>
              <w:pageBreakBefore w:val="0"/>
              <w:widowControl/>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（上述高速公路业绩的要求见第一章招标公告）</w:t>
            </w:r>
          </w:p>
        </w:tc>
      </w:tr>
    </w:tbl>
    <w:p w14:paraId="325FFDDE">
      <w:pPr>
        <w:pageBreakBefore w:val="0"/>
        <w:kinsoku/>
        <w:wordWrap/>
        <w:overflowPunct/>
        <w:topLinePunct w:val="0"/>
        <w:bidi w:val="0"/>
        <w:spacing w:before="312" w:beforeLines="100" w:line="360" w:lineRule="exact"/>
        <w:jc w:val="center"/>
        <w:textAlignment w:val="auto"/>
        <w:outlineLvl w:val="1"/>
        <w:rPr>
          <w:rFonts w:hint="eastAsia" w:ascii="宋体" w:hAnsi="宋体" w:eastAsia="宋体" w:cs="宋体"/>
          <w:sz w:val="21"/>
          <w:szCs w:val="21"/>
        </w:rPr>
      </w:pPr>
      <w:bookmarkStart w:id="7" w:name="_Toc18133"/>
      <w:r>
        <w:rPr>
          <w:rFonts w:hint="eastAsia" w:ascii="宋体" w:hAnsi="宋体" w:eastAsia="宋体" w:cs="宋体"/>
          <w:sz w:val="21"/>
          <w:szCs w:val="21"/>
        </w:rPr>
        <w:t>附录3资格审查条件（信誉最低要求）</w:t>
      </w:r>
      <w:bookmarkEnd w:id="7"/>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7FF9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540" w:type="dxa"/>
            <w:tcBorders>
              <w:top w:val="single" w:color="auto" w:sz="12" w:space="0"/>
              <w:left w:val="single" w:color="auto" w:sz="12" w:space="0"/>
              <w:right w:val="single" w:color="auto" w:sz="12" w:space="0"/>
            </w:tcBorders>
            <w:vAlign w:val="center"/>
          </w:tcPr>
          <w:p w14:paraId="279AFD73">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信誉要求</w:t>
            </w:r>
          </w:p>
        </w:tc>
      </w:tr>
      <w:tr w14:paraId="0823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540" w:type="dxa"/>
            <w:tcBorders>
              <w:left w:val="single" w:color="auto" w:sz="12" w:space="0"/>
              <w:bottom w:val="single" w:color="auto" w:sz="12" w:space="0"/>
              <w:right w:val="single" w:color="auto" w:sz="12" w:space="0"/>
            </w:tcBorders>
            <w:vAlign w:val="center"/>
          </w:tcPr>
          <w:p w14:paraId="317C49AC">
            <w:pPr>
              <w:pageBreakBefore w:val="0"/>
              <w:kinsoku/>
              <w:wordWrap/>
              <w:overflowPunct/>
              <w:topLinePunct w:val="0"/>
              <w:bidi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无</w:t>
            </w:r>
          </w:p>
        </w:tc>
      </w:tr>
    </w:tbl>
    <w:p w14:paraId="43DADB2D">
      <w:pPr>
        <w:pageBreakBefore w:val="0"/>
        <w:kinsoku/>
        <w:wordWrap/>
        <w:overflowPunct/>
        <w:topLinePunct w:val="0"/>
        <w:bidi w:val="0"/>
        <w:spacing w:before="312" w:beforeLines="100" w:line="360" w:lineRule="exact"/>
        <w:jc w:val="center"/>
        <w:textAlignment w:val="auto"/>
        <w:outlineLvl w:val="1"/>
        <w:rPr>
          <w:rFonts w:hint="eastAsia" w:ascii="宋体" w:hAnsi="宋体" w:eastAsia="宋体" w:cs="宋体"/>
          <w:sz w:val="21"/>
          <w:szCs w:val="21"/>
        </w:rPr>
      </w:pPr>
      <w:bookmarkStart w:id="8" w:name="_Toc411418983"/>
      <w:bookmarkStart w:id="9" w:name="_Toc17467"/>
      <w:bookmarkStart w:id="10" w:name="_Toc346800722"/>
      <w:r>
        <w:rPr>
          <w:rFonts w:hint="eastAsia" w:ascii="宋体" w:hAnsi="宋体" w:eastAsia="宋体" w:cs="宋体"/>
          <w:sz w:val="21"/>
          <w:szCs w:val="21"/>
        </w:rPr>
        <w:t>附录4 资格审查条件（总监理工程师最低要求）</w:t>
      </w:r>
      <w:bookmarkEnd w:id="8"/>
      <w:bookmarkEnd w:id="9"/>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960"/>
        <w:gridCol w:w="5475"/>
        <w:gridCol w:w="1743"/>
      </w:tblGrid>
      <w:tr w14:paraId="0C69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55" w:type="dxa"/>
            <w:vMerge w:val="restart"/>
            <w:tcBorders>
              <w:top w:val="single" w:color="auto" w:sz="12" w:space="0"/>
              <w:left w:val="single" w:color="auto" w:sz="12" w:space="0"/>
            </w:tcBorders>
            <w:vAlign w:val="center"/>
          </w:tcPr>
          <w:p w14:paraId="3E171428">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人员</w:t>
            </w:r>
          </w:p>
        </w:tc>
        <w:tc>
          <w:tcPr>
            <w:tcW w:w="960" w:type="dxa"/>
            <w:tcBorders>
              <w:top w:val="single" w:color="auto" w:sz="12" w:space="0"/>
            </w:tcBorders>
            <w:vAlign w:val="center"/>
          </w:tcPr>
          <w:p w14:paraId="166D0EF6">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数量（人）</w:t>
            </w:r>
          </w:p>
        </w:tc>
        <w:tc>
          <w:tcPr>
            <w:tcW w:w="5475" w:type="dxa"/>
            <w:vMerge w:val="restart"/>
            <w:tcBorders>
              <w:top w:val="single" w:color="auto" w:sz="12" w:space="0"/>
              <w:right w:val="single" w:color="auto" w:sz="4" w:space="0"/>
            </w:tcBorders>
            <w:vAlign w:val="center"/>
          </w:tcPr>
          <w:p w14:paraId="70E3B155">
            <w:pPr>
              <w:pageBreakBefore w:val="0"/>
              <w:widowControl/>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资格要求</w:t>
            </w:r>
          </w:p>
        </w:tc>
        <w:tc>
          <w:tcPr>
            <w:tcW w:w="1743" w:type="dxa"/>
            <w:vMerge w:val="restart"/>
            <w:tcBorders>
              <w:top w:val="single" w:color="auto" w:sz="12" w:space="0"/>
              <w:left w:val="single" w:color="auto" w:sz="4" w:space="0"/>
              <w:right w:val="single" w:color="auto" w:sz="12" w:space="0"/>
            </w:tcBorders>
            <w:vAlign w:val="center"/>
          </w:tcPr>
          <w:p w14:paraId="6A16EC08">
            <w:pPr>
              <w:pageBreakBefore w:val="0"/>
              <w:widowControl/>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在岗要求</w:t>
            </w:r>
          </w:p>
        </w:tc>
      </w:tr>
      <w:tr w14:paraId="7E78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55" w:type="dxa"/>
            <w:vMerge w:val="continue"/>
            <w:tcBorders>
              <w:left w:val="single" w:color="auto" w:sz="12" w:space="0"/>
            </w:tcBorders>
            <w:vAlign w:val="center"/>
          </w:tcPr>
          <w:p w14:paraId="56C1D9F2">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960" w:type="dxa"/>
            <w:tcBorders>
              <w:top w:val="single" w:color="auto" w:sz="4" w:space="0"/>
            </w:tcBorders>
            <w:vAlign w:val="center"/>
          </w:tcPr>
          <w:p w14:paraId="65D3087B">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JL02</w:t>
            </w:r>
          </w:p>
        </w:tc>
        <w:tc>
          <w:tcPr>
            <w:tcW w:w="5475" w:type="dxa"/>
            <w:vMerge w:val="continue"/>
            <w:tcBorders>
              <w:bottom w:val="single" w:color="auto" w:sz="8" w:space="0"/>
              <w:right w:val="single" w:color="auto" w:sz="4" w:space="0"/>
            </w:tcBorders>
            <w:vAlign w:val="center"/>
          </w:tcPr>
          <w:p w14:paraId="6BF94247">
            <w:pPr>
              <w:pageBreakBefore w:val="0"/>
              <w:widowControl/>
              <w:kinsoku/>
              <w:wordWrap/>
              <w:overflowPunct/>
              <w:topLinePunct w:val="0"/>
              <w:bidi w:val="0"/>
              <w:spacing w:line="360" w:lineRule="exact"/>
              <w:jc w:val="center"/>
              <w:textAlignment w:val="auto"/>
              <w:rPr>
                <w:rFonts w:hint="eastAsia" w:ascii="宋体" w:hAnsi="宋体" w:eastAsia="宋体" w:cs="宋体"/>
                <w:sz w:val="21"/>
                <w:szCs w:val="21"/>
              </w:rPr>
            </w:pPr>
          </w:p>
        </w:tc>
        <w:tc>
          <w:tcPr>
            <w:tcW w:w="1743" w:type="dxa"/>
            <w:vMerge w:val="continue"/>
            <w:tcBorders>
              <w:left w:val="single" w:color="auto" w:sz="4" w:space="0"/>
              <w:bottom w:val="single" w:color="auto" w:sz="8" w:space="0"/>
              <w:right w:val="single" w:color="auto" w:sz="12" w:space="0"/>
            </w:tcBorders>
            <w:vAlign w:val="center"/>
          </w:tcPr>
          <w:p w14:paraId="547097B3">
            <w:pPr>
              <w:pageBreakBefore w:val="0"/>
              <w:widowControl/>
              <w:kinsoku/>
              <w:wordWrap/>
              <w:overflowPunct/>
              <w:topLinePunct w:val="0"/>
              <w:bidi w:val="0"/>
              <w:spacing w:line="360" w:lineRule="exact"/>
              <w:jc w:val="center"/>
              <w:textAlignment w:val="auto"/>
              <w:rPr>
                <w:rFonts w:hint="eastAsia" w:ascii="宋体" w:hAnsi="宋体" w:eastAsia="宋体" w:cs="宋体"/>
                <w:sz w:val="21"/>
                <w:szCs w:val="21"/>
              </w:rPr>
            </w:pPr>
          </w:p>
        </w:tc>
      </w:tr>
      <w:tr w14:paraId="2B36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55" w:type="dxa"/>
            <w:tcBorders>
              <w:left w:val="single" w:color="auto" w:sz="12" w:space="0"/>
              <w:bottom w:val="single" w:color="auto" w:sz="12" w:space="0"/>
            </w:tcBorders>
            <w:vAlign w:val="center"/>
          </w:tcPr>
          <w:p w14:paraId="740EFE24">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总监理</w:t>
            </w:r>
          </w:p>
          <w:p w14:paraId="7E38A296">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工程师</w:t>
            </w:r>
          </w:p>
        </w:tc>
        <w:tc>
          <w:tcPr>
            <w:tcW w:w="960" w:type="dxa"/>
            <w:tcBorders>
              <w:top w:val="single" w:color="auto" w:sz="4" w:space="0"/>
              <w:bottom w:val="single" w:color="auto" w:sz="12" w:space="0"/>
            </w:tcBorders>
            <w:vAlign w:val="center"/>
          </w:tcPr>
          <w:p w14:paraId="5DC249E7">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5475" w:type="dxa"/>
            <w:tcBorders>
              <w:bottom w:val="single" w:color="auto" w:sz="12" w:space="0"/>
              <w:right w:val="single" w:color="auto" w:sz="4" w:space="0"/>
            </w:tcBorders>
            <w:vAlign w:val="center"/>
          </w:tcPr>
          <w:p w14:paraId="3159F1B5">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sz w:val="21"/>
                <w:szCs w:val="21"/>
              </w:rPr>
            </w:pPr>
            <w:r>
              <w:rPr>
                <w:rFonts w:hint="eastAsia" w:ascii="宋体" w:hAnsi="宋体" w:eastAsia="宋体" w:cs="宋体"/>
                <w:sz w:val="21"/>
                <w:szCs w:val="21"/>
              </w:rPr>
              <w:t>（1）投标人（如为联合体，指联合体牵头人）自有人员</w:t>
            </w:r>
            <w:r>
              <w:rPr>
                <w:rStyle w:val="13"/>
                <w:rFonts w:hint="eastAsia" w:ascii="宋体" w:hAnsi="宋体" w:eastAsia="宋体" w:cs="宋体"/>
                <w:sz w:val="21"/>
                <w:szCs w:val="21"/>
              </w:rPr>
              <w:footnoteReference w:id="1"/>
            </w:r>
            <w:r>
              <w:rPr>
                <w:rFonts w:hint="eastAsia" w:ascii="宋体" w:hAnsi="宋体" w:eastAsia="宋体" w:cs="宋体"/>
                <w:sz w:val="21"/>
                <w:szCs w:val="21"/>
              </w:rPr>
              <w:t>；</w:t>
            </w:r>
          </w:p>
          <w:p w14:paraId="629A77D5">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bCs/>
                <w:sz w:val="21"/>
                <w:szCs w:val="21"/>
              </w:rPr>
            </w:pPr>
            <w:r>
              <w:rPr>
                <w:rFonts w:hint="eastAsia" w:ascii="宋体" w:hAnsi="宋体" w:eastAsia="宋体" w:cs="宋体"/>
                <w:sz w:val="21"/>
                <w:szCs w:val="21"/>
              </w:rPr>
              <w:t>（2）具有公路工程相关专业</w:t>
            </w:r>
            <w:r>
              <w:rPr>
                <w:rStyle w:val="13"/>
                <w:rFonts w:hint="eastAsia" w:ascii="宋体" w:hAnsi="宋体" w:eastAsia="宋体" w:cs="宋体"/>
                <w:sz w:val="21"/>
                <w:szCs w:val="21"/>
              </w:rPr>
              <w:footnoteReference w:id="2"/>
            </w:r>
            <w:r>
              <w:rPr>
                <w:rFonts w:hint="eastAsia" w:ascii="宋体" w:hAnsi="宋体" w:eastAsia="宋体" w:cs="宋体"/>
                <w:sz w:val="21"/>
                <w:szCs w:val="21"/>
              </w:rPr>
              <w:t>高级技术职称；</w:t>
            </w:r>
          </w:p>
          <w:p w14:paraId="5AF4005E">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sz w:val="21"/>
                <w:szCs w:val="21"/>
              </w:rPr>
            </w:pPr>
            <w:r>
              <w:rPr>
                <w:rFonts w:hint="eastAsia" w:ascii="宋体" w:hAnsi="宋体" w:eastAsia="宋体" w:cs="宋体"/>
                <w:sz w:val="21"/>
                <w:szCs w:val="21"/>
              </w:rPr>
              <w:t>（3）具有公路工程监理工程师资格证书；</w:t>
            </w:r>
          </w:p>
          <w:p w14:paraId="5DBEF5C1">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sz w:val="21"/>
                <w:szCs w:val="21"/>
              </w:rPr>
            </w:pPr>
            <w:r>
              <w:rPr>
                <w:rFonts w:hint="eastAsia" w:ascii="宋体" w:hAnsi="宋体" w:eastAsia="宋体" w:cs="宋体"/>
                <w:sz w:val="21"/>
                <w:szCs w:val="21"/>
              </w:rPr>
              <w:t>（4）担任过1项高速公路工程的总监理工程师或副总监理工程师或驻地监理工程师。</w:t>
            </w:r>
          </w:p>
          <w:p w14:paraId="01E6E4A1">
            <w:pPr>
              <w:pageBreakBefore w:val="0"/>
              <w:tabs>
                <w:tab w:val="left" w:pos="540"/>
              </w:tabs>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注：1.高速公路业绩应为国内新建、改扩建高速公路的业绩，养护工程业绩不予认定。</w:t>
            </w:r>
          </w:p>
          <w:p w14:paraId="3D092893">
            <w:pPr>
              <w:pageBreakBefore w:val="0"/>
              <w:kinsoku/>
              <w:wordWrap/>
              <w:overflowPunct/>
              <w:topLinePunct w:val="0"/>
              <w:bidi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2.高速公路业绩应为已列入交通运输主管部门“公路建设市场信用信息管理系统”并公开的业绩。</w:t>
            </w:r>
          </w:p>
        </w:tc>
        <w:tc>
          <w:tcPr>
            <w:tcW w:w="1743" w:type="dxa"/>
            <w:tcBorders>
              <w:left w:val="single" w:color="auto" w:sz="4" w:space="0"/>
              <w:bottom w:val="single" w:color="auto" w:sz="12" w:space="0"/>
              <w:right w:val="single" w:color="auto" w:sz="12" w:space="0"/>
            </w:tcBorders>
            <w:vAlign w:val="center"/>
          </w:tcPr>
          <w:p w14:paraId="23666B7E">
            <w:pPr>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无在岗项目（指目前未在其他项目上任职，或虽在其他项目上任职但本项目中标后能够从该项目撤离）</w:t>
            </w:r>
          </w:p>
        </w:tc>
      </w:tr>
      <w:bookmarkEnd w:id="10"/>
    </w:tbl>
    <w:p w14:paraId="64725D46">
      <w:pPr>
        <w:pageBreakBefore w:val="0"/>
        <w:kinsoku/>
        <w:wordWrap/>
        <w:overflowPunct/>
        <w:topLinePunct w:val="0"/>
        <w:bidi w:val="0"/>
        <w:spacing w:before="312" w:beforeLines="100" w:line="360" w:lineRule="exact"/>
        <w:jc w:val="center"/>
        <w:textAlignment w:val="auto"/>
        <w:outlineLvl w:val="1"/>
        <w:rPr>
          <w:rFonts w:hint="eastAsia" w:ascii="宋体" w:hAnsi="宋体" w:eastAsia="宋体" w:cs="宋体"/>
          <w:sz w:val="21"/>
          <w:szCs w:val="21"/>
        </w:rPr>
      </w:pPr>
      <w:r>
        <w:rPr>
          <w:rFonts w:hint="eastAsia" w:ascii="宋体" w:hAnsi="宋体" w:eastAsia="宋体" w:cs="宋体"/>
          <w:sz w:val="21"/>
          <w:szCs w:val="21"/>
        </w:rPr>
        <w:br w:type="page"/>
      </w:r>
      <w:bookmarkStart w:id="11" w:name="_Toc17269"/>
      <w:r>
        <w:rPr>
          <w:rFonts w:hint="eastAsia" w:ascii="宋体" w:hAnsi="宋体" w:eastAsia="宋体" w:cs="宋体"/>
          <w:sz w:val="21"/>
          <w:szCs w:val="21"/>
        </w:rPr>
        <w:t>附录5 资格审查条件（其他主要监理人员最低要求）</w:t>
      </w:r>
      <w:bookmarkEnd w:id="1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117"/>
        <w:gridCol w:w="5483"/>
        <w:gridCol w:w="1735"/>
      </w:tblGrid>
      <w:tr w14:paraId="49E1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8" w:type="dxa"/>
            <w:vMerge w:val="restart"/>
            <w:tcBorders>
              <w:top w:val="single" w:color="auto" w:sz="12" w:space="0"/>
              <w:left w:val="single" w:color="auto" w:sz="12" w:space="0"/>
              <w:bottom w:val="single" w:color="auto" w:sz="6" w:space="0"/>
              <w:right w:val="single" w:color="auto" w:sz="6" w:space="0"/>
            </w:tcBorders>
            <w:vAlign w:val="center"/>
          </w:tcPr>
          <w:p w14:paraId="395DB0ED">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人员</w:t>
            </w:r>
          </w:p>
        </w:tc>
        <w:tc>
          <w:tcPr>
            <w:tcW w:w="1117" w:type="dxa"/>
            <w:tcBorders>
              <w:top w:val="single" w:color="auto" w:sz="12" w:space="0"/>
              <w:left w:val="single" w:color="auto" w:sz="6" w:space="0"/>
              <w:bottom w:val="single" w:color="auto" w:sz="6" w:space="0"/>
              <w:right w:val="single" w:color="auto" w:sz="6" w:space="0"/>
            </w:tcBorders>
            <w:vAlign w:val="center"/>
          </w:tcPr>
          <w:p w14:paraId="5A5947B7">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数量（人）</w:t>
            </w:r>
          </w:p>
        </w:tc>
        <w:tc>
          <w:tcPr>
            <w:tcW w:w="5483" w:type="dxa"/>
            <w:vMerge w:val="restart"/>
            <w:tcBorders>
              <w:top w:val="single" w:color="auto" w:sz="12" w:space="0"/>
              <w:left w:val="single" w:color="auto" w:sz="6" w:space="0"/>
              <w:bottom w:val="single" w:color="auto" w:sz="6" w:space="0"/>
              <w:right w:val="single" w:color="auto" w:sz="6" w:space="0"/>
            </w:tcBorders>
            <w:vAlign w:val="center"/>
          </w:tcPr>
          <w:p w14:paraId="2E212C98">
            <w:pPr>
              <w:pageBreakBefore w:val="0"/>
              <w:widowControl/>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资格要求</w:t>
            </w:r>
          </w:p>
        </w:tc>
        <w:tc>
          <w:tcPr>
            <w:tcW w:w="1735" w:type="dxa"/>
            <w:vMerge w:val="restart"/>
            <w:tcBorders>
              <w:top w:val="single" w:color="auto" w:sz="12" w:space="0"/>
              <w:left w:val="single" w:color="auto" w:sz="6" w:space="0"/>
              <w:right w:val="single" w:color="auto" w:sz="12" w:space="0"/>
            </w:tcBorders>
            <w:vAlign w:val="center"/>
          </w:tcPr>
          <w:p w14:paraId="49B89963">
            <w:pPr>
              <w:pageBreakBefore w:val="0"/>
              <w:widowControl/>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在岗要求</w:t>
            </w:r>
          </w:p>
        </w:tc>
      </w:tr>
      <w:tr w14:paraId="5C48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98" w:type="dxa"/>
            <w:vMerge w:val="continue"/>
            <w:tcBorders>
              <w:top w:val="single" w:color="auto" w:sz="6" w:space="0"/>
              <w:left w:val="single" w:color="auto" w:sz="12" w:space="0"/>
              <w:bottom w:val="single" w:color="auto" w:sz="6" w:space="0"/>
              <w:right w:val="single" w:color="auto" w:sz="6" w:space="0"/>
            </w:tcBorders>
            <w:vAlign w:val="center"/>
          </w:tcPr>
          <w:p w14:paraId="6172AC02">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17" w:type="dxa"/>
            <w:tcBorders>
              <w:top w:val="single" w:color="auto" w:sz="6" w:space="0"/>
              <w:left w:val="single" w:color="auto" w:sz="6" w:space="0"/>
              <w:bottom w:val="single" w:color="auto" w:sz="6" w:space="0"/>
              <w:right w:val="single" w:color="auto" w:sz="6" w:space="0"/>
            </w:tcBorders>
            <w:vAlign w:val="center"/>
          </w:tcPr>
          <w:p w14:paraId="073DAAF6">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JL02</w:t>
            </w:r>
          </w:p>
        </w:tc>
        <w:tc>
          <w:tcPr>
            <w:tcW w:w="5483" w:type="dxa"/>
            <w:vMerge w:val="continue"/>
            <w:tcBorders>
              <w:top w:val="single" w:color="auto" w:sz="6" w:space="0"/>
              <w:left w:val="single" w:color="auto" w:sz="6" w:space="0"/>
              <w:bottom w:val="single" w:color="auto" w:sz="6" w:space="0"/>
              <w:right w:val="single" w:color="auto" w:sz="6" w:space="0"/>
            </w:tcBorders>
            <w:vAlign w:val="center"/>
          </w:tcPr>
          <w:p w14:paraId="63D457DC">
            <w:pPr>
              <w:pageBreakBefore w:val="0"/>
              <w:widowControl/>
              <w:kinsoku/>
              <w:wordWrap/>
              <w:overflowPunct/>
              <w:topLinePunct w:val="0"/>
              <w:bidi w:val="0"/>
              <w:spacing w:line="360" w:lineRule="exact"/>
              <w:jc w:val="center"/>
              <w:textAlignment w:val="auto"/>
              <w:rPr>
                <w:rFonts w:hint="eastAsia" w:ascii="宋体" w:hAnsi="宋体" w:eastAsia="宋体" w:cs="宋体"/>
                <w:sz w:val="21"/>
                <w:szCs w:val="21"/>
              </w:rPr>
            </w:pPr>
          </w:p>
        </w:tc>
        <w:tc>
          <w:tcPr>
            <w:tcW w:w="1735" w:type="dxa"/>
            <w:vMerge w:val="continue"/>
            <w:tcBorders>
              <w:left w:val="single" w:color="auto" w:sz="6" w:space="0"/>
              <w:bottom w:val="single" w:color="auto" w:sz="8" w:space="0"/>
              <w:right w:val="single" w:color="auto" w:sz="12" w:space="0"/>
            </w:tcBorders>
            <w:vAlign w:val="center"/>
          </w:tcPr>
          <w:p w14:paraId="643B9179">
            <w:pPr>
              <w:pageBreakBefore w:val="0"/>
              <w:widowControl/>
              <w:kinsoku/>
              <w:wordWrap/>
              <w:overflowPunct/>
              <w:topLinePunct w:val="0"/>
              <w:bidi w:val="0"/>
              <w:spacing w:line="360" w:lineRule="exact"/>
              <w:jc w:val="center"/>
              <w:textAlignment w:val="auto"/>
              <w:rPr>
                <w:rFonts w:hint="eastAsia" w:ascii="宋体" w:hAnsi="宋体" w:eastAsia="宋体" w:cs="宋体"/>
                <w:sz w:val="21"/>
                <w:szCs w:val="21"/>
              </w:rPr>
            </w:pPr>
          </w:p>
        </w:tc>
      </w:tr>
      <w:tr w14:paraId="5879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98" w:type="dxa"/>
            <w:tcBorders>
              <w:top w:val="single" w:color="auto" w:sz="6" w:space="0"/>
              <w:left w:val="single" w:color="auto" w:sz="12" w:space="0"/>
              <w:bottom w:val="single" w:color="auto" w:sz="6" w:space="0"/>
              <w:right w:val="single" w:color="auto" w:sz="6" w:space="0"/>
            </w:tcBorders>
            <w:vAlign w:val="center"/>
          </w:tcPr>
          <w:p w14:paraId="6F0C9767">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副总监理</w:t>
            </w:r>
          </w:p>
          <w:p w14:paraId="511936C3">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工程师</w:t>
            </w:r>
          </w:p>
        </w:tc>
        <w:tc>
          <w:tcPr>
            <w:tcW w:w="1117" w:type="dxa"/>
            <w:tcBorders>
              <w:top w:val="single" w:color="auto" w:sz="6" w:space="0"/>
              <w:left w:val="single" w:color="auto" w:sz="6" w:space="0"/>
              <w:bottom w:val="single" w:color="auto" w:sz="6" w:space="0"/>
              <w:right w:val="single" w:color="auto" w:sz="6" w:space="0"/>
            </w:tcBorders>
            <w:vAlign w:val="center"/>
          </w:tcPr>
          <w:p w14:paraId="4F56C9DB">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5483" w:type="dxa"/>
            <w:tcBorders>
              <w:top w:val="single" w:color="auto" w:sz="6" w:space="0"/>
              <w:left w:val="single" w:color="auto" w:sz="6" w:space="0"/>
              <w:bottom w:val="single" w:color="auto" w:sz="6" w:space="0"/>
              <w:right w:val="single" w:color="auto" w:sz="6" w:space="0"/>
            </w:tcBorders>
            <w:vAlign w:val="center"/>
          </w:tcPr>
          <w:p w14:paraId="4F8AA96E">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sz w:val="21"/>
                <w:szCs w:val="21"/>
              </w:rPr>
            </w:pPr>
            <w:r>
              <w:rPr>
                <w:rFonts w:hint="eastAsia" w:ascii="宋体" w:hAnsi="宋体" w:eastAsia="宋体" w:cs="宋体"/>
                <w:sz w:val="21"/>
                <w:szCs w:val="21"/>
              </w:rPr>
              <w:t>（1）投标人自有人员；</w:t>
            </w:r>
          </w:p>
          <w:p w14:paraId="1592B6C2">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bCs/>
                <w:sz w:val="21"/>
                <w:szCs w:val="21"/>
              </w:rPr>
            </w:pPr>
            <w:r>
              <w:rPr>
                <w:rFonts w:hint="eastAsia" w:ascii="宋体" w:hAnsi="宋体" w:eastAsia="宋体" w:cs="宋体"/>
                <w:sz w:val="21"/>
                <w:szCs w:val="21"/>
              </w:rPr>
              <w:t>（2）具有公路工程相关专业高级技术职称；</w:t>
            </w:r>
          </w:p>
          <w:p w14:paraId="3879E321">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sz w:val="21"/>
                <w:szCs w:val="21"/>
              </w:rPr>
            </w:pPr>
            <w:r>
              <w:rPr>
                <w:rFonts w:hint="eastAsia" w:ascii="宋体" w:hAnsi="宋体" w:eastAsia="宋体" w:cs="宋体"/>
                <w:sz w:val="21"/>
                <w:szCs w:val="21"/>
              </w:rPr>
              <w:t>（3）具有公路工程监理工程师资格证书；</w:t>
            </w:r>
          </w:p>
          <w:p w14:paraId="370B3ABC">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担任过1项高速公路工程的总监理工程师或副总监理工程师或驻地监理工程师。</w:t>
            </w:r>
          </w:p>
        </w:tc>
        <w:tc>
          <w:tcPr>
            <w:tcW w:w="1735" w:type="dxa"/>
            <w:vMerge w:val="restart"/>
            <w:tcBorders>
              <w:left w:val="single" w:color="auto" w:sz="6" w:space="0"/>
              <w:right w:val="single" w:color="auto" w:sz="12" w:space="0"/>
            </w:tcBorders>
            <w:vAlign w:val="center"/>
          </w:tcPr>
          <w:p w14:paraId="44D91EA8">
            <w:pPr>
              <w:pageBreakBefore w:val="0"/>
              <w:widowControl/>
              <w:kinsoku/>
              <w:wordWrap/>
              <w:overflowPunct/>
              <w:topLinePunct w:val="0"/>
              <w:bidi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无在岗项目</w:t>
            </w:r>
            <w:r>
              <w:rPr>
                <w:rFonts w:hint="eastAsia" w:ascii="宋体" w:hAnsi="宋体" w:eastAsia="宋体" w:cs="宋体"/>
                <w:bCs/>
                <w:sz w:val="21"/>
                <w:szCs w:val="21"/>
              </w:rPr>
              <w:t>（指目前未在其他项目上任职，或虽在其他项目上任职但本项目中标后能够从该项目撤离）</w:t>
            </w:r>
          </w:p>
        </w:tc>
      </w:tr>
      <w:tr w14:paraId="564B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98" w:type="dxa"/>
            <w:tcBorders>
              <w:top w:val="single" w:color="auto" w:sz="6" w:space="0"/>
              <w:left w:val="single" w:color="auto" w:sz="12" w:space="0"/>
              <w:bottom w:val="single" w:color="auto" w:sz="6" w:space="0"/>
              <w:right w:val="single" w:color="auto" w:sz="6" w:space="0"/>
            </w:tcBorders>
            <w:vAlign w:val="center"/>
          </w:tcPr>
          <w:p w14:paraId="562553D7">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道路监理</w:t>
            </w:r>
            <w:r>
              <w:rPr>
                <w:rFonts w:hint="eastAsia" w:ascii="宋体" w:hAnsi="宋体" w:eastAsia="宋体" w:cs="宋体"/>
                <w:sz w:val="21"/>
                <w:szCs w:val="21"/>
              </w:rPr>
              <w:br w:type="textWrapping"/>
            </w:r>
            <w:r>
              <w:rPr>
                <w:rFonts w:hint="eastAsia" w:ascii="宋体" w:hAnsi="宋体" w:eastAsia="宋体" w:cs="宋体"/>
                <w:sz w:val="21"/>
                <w:szCs w:val="21"/>
              </w:rPr>
              <w:t>工程师</w:t>
            </w:r>
          </w:p>
        </w:tc>
        <w:tc>
          <w:tcPr>
            <w:tcW w:w="1117" w:type="dxa"/>
            <w:tcBorders>
              <w:top w:val="single" w:color="auto" w:sz="6" w:space="0"/>
              <w:left w:val="single" w:color="auto" w:sz="6" w:space="0"/>
              <w:bottom w:val="single" w:color="auto" w:sz="6" w:space="0"/>
              <w:right w:val="single" w:color="auto" w:sz="6" w:space="0"/>
            </w:tcBorders>
            <w:vAlign w:val="center"/>
          </w:tcPr>
          <w:p w14:paraId="710E4DEC">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5483" w:type="dxa"/>
            <w:tcBorders>
              <w:top w:val="single" w:color="auto" w:sz="6" w:space="0"/>
              <w:left w:val="single" w:color="auto" w:sz="6" w:space="0"/>
              <w:bottom w:val="single" w:color="auto" w:sz="6" w:space="0"/>
              <w:right w:val="single" w:color="auto" w:sz="6" w:space="0"/>
            </w:tcBorders>
            <w:vAlign w:val="center"/>
          </w:tcPr>
          <w:p w14:paraId="4CD04960">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sz w:val="21"/>
                <w:szCs w:val="21"/>
              </w:rPr>
            </w:pPr>
            <w:r>
              <w:rPr>
                <w:rFonts w:hint="eastAsia" w:ascii="宋体" w:hAnsi="宋体" w:eastAsia="宋体" w:cs="宋体"/>
                <w:sz w:val="21"/>
                <w:szCs w:val="21"/>
              </w:rPr>
              <w:t>（1）投标人自有人员；</w:t>
            </w:r>
          </w:p>
          <w:p w14:paraId="6D9BBE6A">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sz w:val="21"/>
                <w:szCs w:val="21"/>
              </w:rPr>
            </w:pPr>
            <w:r>
              <w:rPr>
                <w:rFonts w:hint="eastAsia" w:ascii="宋体" w:hAnsi="宋体" w:eastAsia="宋体" w:cs="宋体"/>
                <w:sz w:val="21"/>
                <w:szCs w:val="21"/>
              </w:rPr>
              <w:t>（2）具有公路相关专业工程师职称；</w:t>
            </w:r>
          </w:p>
          <w:p w14:paraId="0AE4E0D9">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sz w:val="21"/>
                <w:szCs w:val="21"/>
              </w:rPr>
            </w:pPr>
            <w:r>
              <w:rPr>
                <w:rFonts w:hint="eastAsia" w:ascii="宋体" w:hAnsi="宋体" w:eastAsia="宋体" w:cs="宋体"/>
                <w:sz w:val="21"/>
                <w:szCs w:val="21"/>
              </w:rPr>
              <w:t>（3）具有公路工程监理工程师资格证书。</w:t>
            </w:r>
          </w:p>
        </w:tc>
        <w:tc>
          <w:tcPr>
            <w:tcW w:w="1735" w:type="dxa"/>
            <w:vMerge w:val="continue"/>
            <w:tcBorders>
              <w:left w:val="single" w:color="auto" w:sz="6" w:space="0"/>
              <w:right w:val="single" w:color="auto" w:sz="12" w:space="0"/>
            </w:tcBorders>
            <w:vAlign w:val="center"/>
          </w:tcPr>
          <w:p w14:paraId="09928D86">
            <w:pPr>
              <w:pageBreakBefore w:val="0"/>
              <w:widowControl/>
              <w:kinsoku/>
              <w:wordWrap/>
              <w:overflowPunct/>
              <w:topLinePunct w:val="0"/>
              <w:bidi w:val="0"/>
              <w:spacing w:line="360" w:lineRule="exact"/>
              <w:jc w:val="left"/>
              <w:textAlignment w:val="auto"/>
              <w:rPr>
                <w:rFonts w:hint="eastAsia" w:ascii="宋体" w:hAnsi="宋体" w:eastAsia="宋体" w:cs="宋体"/>
                <w:bCs/>
                <w:sz w:val="21"/>
                <w:szCs w:val="21"/>
              </w:rPr>
            </w:pPr>
          </w:p>
        </w:tc>
      </w:tr>
      <w:tr w14:paraId="7741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198" w:type="dxa"/>
            <w:tcBorders>
              <w:top w:val="single" w:color="auto" w:sz="6" w:space="0"/>
              <w:left w:val="single" w:color="auto" w:sz="12" w:space="0"/>
              <w:bottom w:val="single" w:color="auto" w:sz="6" w:space="0"/>
              <w:right w:val="single" w:color="auto" w:sz="6" w:space="0"/>
            </w:tcBorders>
            <w:vAlign w:val="center"/>
          </w:tcPr>
          <w:p w14:paraId="3AB5E5A5">
            <w:pPr>
              <w:pageBreakBefore w:val="0"/>
              <w:kinsoku/>
              <w:wordWrap/>
              <w:overflowPunct/>
              <w:topLinePunct w:val="0"/>
              <w:bidi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桥梁监理</w:t>
            </w:r>
            <w:r>
              <w:rPr>
                <w:rFonts w:hint="eastAsia" w:ascii="宋体" w:hAnsi="宋体" w:eastAsia="宋体" w:cs="宋体"/>
                <w:sz w:val="21"/>
                <w:szCs w:val="21"/>
              </w:rPr>
              <w:br w:type="textWrapping"/>
            </w:r>
            <w:r>
              <w:rPr>
                <w:rFonts w:hint="eastAsia" w:ascii="宋体" w:hAnsi="宋体" w:eastAsia="宋体" w:cs="宋体"/>
                <w:sz w:val="21"/>
                <w:szCs w:val="21"/>
              </w:rPr>
              <w:t>工程师</w:t>
            </w:r>
          </w:p>
        </w:tc>
        <w:tc>
          <w:tcPr>
            <w:tcW w:w="1117" w:type="dxa"/>
            <w:tcBorders>
              <w:top w:val="single" w:color="auto" w:sz="6" w:space="0"/>
              <w:left w:val="single" w:color="auto" w:sz="6" w:space="0"/>
              <w:bottom w:val="single" w:color="auto" w:sz="6" w:space="0"/>
              <w:right w:val="single" w:color="auto" w:sz="6" w:space="0"/>
            </w:tcBorders>
            <w:vAlign w:val="center"/>
          </w:tcPr>
          <w:p w14:paraId="6F37CFF1">
            <w:pPr>
              <w:pageBreakBefore w:val="0"/>
              <w:kinsoku/>
              <w:wordWrap/>
              <w:overflowPunct/>
              <w:topLinePunct w:val="0"/>
              <w:bidi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5483" w:type="dxa"/>
            <w:tcBorders>
              <w:top w:val="single" w:color="auto" w:sz="6" w:space="0"/>
              <w:left w:val="single" w:color="auto" w:sz="6" w:space="0"/>
              <w:bottom w:val="single" w:color="auto" w:sz="6" w:space="0"/>
              <w:right w:val="single" w:color="auto" w:sz="6" w:space="0"/>
            </w:tcBorders>
            <w:vAlign w:val="center"/>
          </w:tcPr>
          <w:p w14:paraId="4B314B0F">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sz w:val="21"/>
                <w:szCs w:val="21"/>
              </w:rPr>
            </w:pPr>
            <w:r>
              <w:rPr>
                <w:rFonts w:hint="eastAsia" w:ascii="宋体" w:hAnsi="宋体" w:eastAsia="宋体" w:cs="宋体"/>
                <w:sz w:val="21"/>
                <w:szCs w:val="21"/>
              </w:rPr>
              <w:t>（1）投标人自有人员；</w:t>
            </w:r>
          </w:p>
          <w:p w14:paraId="3D1957B0">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sz w:val="21"/>
                <w:szCs w:val="21"/>
              </w:rPr>
            </w:pPr>
            <w:r>
              <w:rPr>
                <w:rFonts w:hint="eastAsia" w:ascii="宋体" w:hAnsi="宋体" w:eastAsia="宋体" w:cs="宋体"/>
                <w:sz w:val="21"/>
                <w:szCs w:val="21"/>
              </w:rPr>
              <w:t>（2）具有公路相关专业工程师职称；</w:t>
            </w:r>
          </w:p>
          <w:p w14:paraId="1045E198">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sz w:val="21"/>
                <w:szCs w:val="21"/>
              </w:rPr>
            </w:pPr>
            <w:r>
              <w:rPr>
                <w:rFonts w:hint="eastAsia" w:ascii="宋体" w:hAnsi="宋体" w:eastAsia="宋体" w:cs="宋体"/>
                <w:sz w:val="21"/>
                <w:szCs w:val="21"/>
              </w:rPr>
              <w:t>（3）具有公路工程监理工程师资格证书。</w:t>
            </w:r>
          </w:p>
        </w:tc>
        <w:tc>
          <w:tcPr>
            <w:tcW w:w="1735" w:type="dxa"/>
            <w:vMerge w:val="continue"/>
            <w:tcBorders>
              <w:left w:val="single" w:color="auto" w:sz="6" w:space="0"/>
              <w:right w:val="single" w:color="auto" w:sz="12" w:space="0"/>
            </w:tcBorders>
            <w:vAlign w:val="center"/>
          </w:tcPr>
          <w:p w14:paraId="63EC31D9">
            <w:pPr>
              <w:pageBreakBefore w:val="0"/>
              <w:widowControl/>
              <w:kinsoku/>
              <w:wordWrap/>
              <w:overflowPunct/>
              <w:topLinePunct w:val="0"/>
              <w:bidi w:val="0"/>
              <w:spacing w:line="360" w:lineRule="exact"/>
              <w:jc w:val="left"/>
              <w:textAlignment w:val="auto"/>
              <w:rPr>
                <w:rFonts w:hint="eastAsia" w:ascii="宋体" w:hAnsi="宋体" w:eastAsia="宋体" w:cs="宋体"/>
                <w:bCs/>
                <w:sz w:val="21"/>
                <w:szCs w:val="21"/>
              </w:rPr>
            </w:pPr>
          </w:p>
        </w:tc>
      </w:tr>
      <w:tr w14:paraId="5B92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198" w:type="dxa"/>
            <w:tcBorders>
              <w:top w:val="single" w:color="auto" w:sz="6" w:space="0"/>
              <w:left w:val="single" w:color="auto" w:sz="12" w:space="0"/>
              <w:bottom w:val="single" w:color="auto" w:sz="6" w:space="0"/>
              <w:right w:val="single" w:color="auto" w:sz="6" w:space="0"/>
            </w:tcBorders>
            <w:vAlign w:val="center"/>
          </w:tcPr>
          <w:p w14:paraId="1DC46E2A">
            <w:pPr>
              <w:pageBreakBefore w:val="0"/>
              <w:kinsoku/>
              <w:wordWrap/>
              <w:overflowPunct/>
              <w:topLinePunct w:val="0"/>
              <w:bidi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隧道监理</w:t>
            </w:r>
            <w:r>
              <w:rPr>
                <w:rFonts w:hint="eastAsia" w:ascii="宋体" w:hAnsi="宋体" w:eastAsia="宋体" w:cs="宋体"/>
                <w:sz w:val="21"/>
                <w:szCs w:val="21"/>
              </w:rPr>
              <w:br w:type="textWrapping"/>
            </w:r>
            <w:r>
              <w:rPr>
                <w:rFonts w:hint="eastAsia" w:ascii="宋体" w:hAnsi="宋体" w:eastAsia="宋体" w:cs="宋体"/>
                <w:sz w:val="21"/>
                <w:szCs w:val="21"/>
              </w:rPr>
              <w:t>工程师</w:t>
            </w:r>
          </w:p>
        </w:tc>
        <w:tc>
          <w:tcPr>
            <w:tcW w:w="1117" w:type="dxa"/>
            <w:tcBorders>
              <w:top w:val="single" w:color="auto" w:sz="6" w:space="0"/>
              <w:left w:val="single" w:color="auto" w:sz="6" w:space="0"/>
              <w:bottom w:val="single" w:color="auto" w:sz="6" w:space="0"/>
              <w:right w:val="single" w:color="auto" w:sz="6" w:space="0"/>
            </w:tcBorders>
            <w:vAlign w:val="center"/>
          </w:tcPr>
          <w:p w14:paraId="13C2F257">
            <w:pPr>
              <w:pageBreakBefore w:val="0"/>
              <w:kinsoku/>
              <w:wordWrap/>
              <w:overflowPunct/>
              <w:topLinePunct w:val="0"/>
              <w:bidi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5483" w:type="dxa"/>
            <w:tcBorders>
              <w:top w:val="single" w:color="auto" w:sz="6" w:space="0"/>
              <w:left w:val="single" w:color="auto" w:sz="6" w:space="0"/>
              <w:bottom w:val="single" w:color="auto" w:sz="6" w:space="0"/>
              <w:right w:val="single" w:color="auto" w:sz="6" w:space="0"/>
            </w:tcBorders>
            <w:vAlign w:val="center"/>
          </w:tcPr>
          <w:p w14:paraId="38D7A61C">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sz w:val="21"/>
                <w:szCs w:val="21"/>
              </w:rPr>
            </w:pPr>
            <w:r>
              <w:rPr>
                <w:rFonts w:hint="eastAsia" w:ascii="宋体" w:hAnsi="宋体" w:eastAsia="宋体" w:cs="宋体"/>
                <w:sz w:val="21"/>
                <w:szCs w:val="21"/>
              </w:rPr>
              <w:t>（1）投标人自有人员；</w:t>
            </w:r>
          </w:p>
          <w:p w14:paraId="440C43FB">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sz w:val="21"/>
                <w:szCs w:val="21"/>
              </w:rPr>
            </w:pPr>
            <w:r>
              <w:rPr>
                <w:rFonts w:hint="eastAsia" w:ascii="宋体" w:hAnsi="宋体" w:eastAsia="宋体" w:cs="宋体"/>
                <w:sz w:val="21"/>
                <w:szCs w:val="21"/>
              </w:rPr>
              <w:t>（2）具有公路相关专业工程师职称；</w:t>
            </w:r>
          </w:p>
          <w:p w14:paraId="2598DCC9">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sz w:val="21"/>
                <w:szCs w:val="21"/>
              </w:rPr>
            </w:pPr>
            <w:r>
              <w:rPr>
                <w:rFonts w:hint="eastAsia" w:ascii="宋体" w:hAnsi="宋体" w:eastAsia="宋体" w:cs="宋体"/>
                <w:sz w:val="21"/>
                <w:szCs w:val="21"/>
              </w:rPr>
              <w:t>（3）具有公路工程监理工程师资格证书。</w:t>
            </w:r>
          </w:p>
        </w:tc>
        <w:tc>
          <w:tcPr>
            <w:tcW w:w="1735" w:type="dxa"/>
            <w:vMerge w:val="continue"/>
            <w:tcBorders>
              <w:left w:val="single" w:color="auto" w:sz="6" w:space="0"/>
              <w:right w:val="single" w:color="auto" w:sz="12" w:space="0"/>
            </w:tcBorders>
            <w:vAlign w:val="center"/>
          </w:tcPr>
          <w:p w14:paraId="745AD45F">
            <w:pPr>
              <w:pageBreakBefore w:val="0"/>
              <w:widowControl/>
              <w:kinsoku/>
              <w:wordWrap/>
              <w:overflowPunct/>
              <w:topLinePunct w:val="0"/>
              <w:bidi w:val="0"/>
              <w:spacing w:line="360" w:lineRule="exact"/>
              <w:jc w:val="left"/>
              <w:textAlignment w:val="auto"/>
              <w:rPr>
                <w:rFonts w:hint="eastAsia" w:ascii="宋体" w:hAnsi="宋体" w:eastAsia="宋体" w:cs="宋体"/>
                <w:bCs/>
                <w:sz w:val="21"/>
                <w:szCs w:val="21"/>
              </w:rPr>
            </w:pPr>
          </w:p>
        </w:tc>
      </w:tr>
      <w:tr w14:paraId="071E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198" w:type="dxa"/>
            <w:tcBorders>
              <w:top w:val="single" w:color="auto" w:sz="6" w:space="0"/>
              <w:left w:val="single" w:color="auto" w:sz="12" w:space="0"/>
              <w:bottom w:val="single" w:color="auto" w:sz="12" w:space="0"/>
              <w:right w:val="single" w:color="auto" w:sz="6" w:space="0"/>
            </w:tcBorders>
            <w:vAlign w:val="center"/>
          </w:tcPr>
          <w:p w14:paraId="13C9A9D1">
            <w:pPr>
              <w:pageBreakBefore w:val="0"/>
              <w:kinsoku/>
              <w:wordWrap/>
              <w:overflowPunct/>
              <w:topLinePunct w:val="0"/>
              <w:bidi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试验</w:t>
            </w:r>
            <w:r>
              <w:rPr>
                <w:rFonts w:hint="eastAsia" w:ascii="宋体" w:hAnsi="宋体" w:eastAsia="宋体" w:cs="宋体"/>
                <w:sz w:val="21"/>
                <w:szCs w:val="21"/>
              </w:rPr>
              <w:br w:type="textWrapping"/>
            </w:r>
            <w:r>
              <w:rPr>
                <w:rFonts w:hint="eastAsia" w:ascii="宋体" w:hAnsi="宋体" w:eastAsia="宋体" w:cs="宋体"/>
                <w:sz w:val="21"/>
                <w:szCs w:val="21"/>
              </w:rPr>
              <w:t>检测师</w:t>
            </w:r>
          </w:p>
        </w:tc>
        <w:tc>
          <w:tcPr>
            <w:tcW w:w="1117" w:type="dxa"/>
            <w:tcBorders>
              <w:top w:val="single" w:color="auto" w:sz="6" w:space="0"/>
              <w:left w:val="single" w:color="auto" w:sz="6" w:space="0"/>
              <w:bottom w:val="single" w:color="auto" w:sz="12" w:space="0"/>
              <w:right w:val="single" w:color="auto" w:sz="6" w:space="0"/>
            </w:tcBorders>
            <w:vAlign w:val="center"/>
          </w:tcPr>
          <w:p w14:paraId="3A846708">
            <w:pPr>
              <w:pageBreakBefore w:val="0"/>
              <w:kinsoku/>
              <w:wordWrap/>
              <w:overflowPunct/>
              <w:topLinePunct w:val="0"/>
              <w:bidi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5483" w:type="dxa"/>
            <w:tcBorders>
              <w:top w:val="single" w:color="auto" w:sz="6" w:space="0"/>
              <w:left w:val="single" w:color="auto" w:sz="6" w:space="0"/>
              <w:bottom w:val="single" w:color="auto" w:sz="12" w:space="0"/>
              <w:right w:val="single" w:color="auto" w:sz="6" w:space="0"/>
            </w:tcBorders>
            <w:vAlign w:val="center"/>
          </w:tcPr>
          <w:p w14:paraId="047168EA">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sz w:val="21"/>
                <w:szCs w:val="21"/>
              </w:rPr>
            </w:pPr>
            <w:r>
              <w:rPr>
                <w:rFonts w:hint="eastAsia" w:ascii="宋体" w:hAnsi="宋体" w:eastAsia="宋体" w:cs="宋体"/>
                <w:sz w:val="21"/>
                <w:szCs w:val="21"/>
              </w:rPr>
              <w:t>（1）投标人自有人员；</w:t>
            </w:r>
          </w:p>
          <w:p w14:paraId="0DD285AB">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sz w:val="21"/>
                <w:szCs w:val="21"/>
              </w:rPr>
            </w:pPr>
            <w:r>
              <w:rPr>
                <w:rFonts w:hint="eastAsia" w:ascii="宋体" w:hAnsi="宋体" w:eastAsia="宋体" w:cs="宋体"/>
                <w:sz w:val="21"/>
                <w:szCs w:val="21"/>
              </w:rPr>
              <w:t>（2）具有公路相关专业工程师职称；</w:t>
            </w:r>
          </w:p>
          <w:p w14:paraId="605EAE7C">
            <w:pPr>
              <w:pageBreakBefore w:val="0"/>
              <w:widowControl/>
              <w:tabs>
                <w:tab w:val="left" w:pos="624"/>
                <w:tab w:val="left" w:pos="909"/>
              </w:tabs>
              <w:kinsoku/>
              <w:wordWrap/>
              <w:overflowPunct/>
              <w:topLinePunct w:val="0"/>
              <w:bidi w:val="0"/>
              <w:spacing w:line="360" w:lineRule="exact"/>
              <w:ind w:left="78"/>
              <w:jc w:val="left"/>
              <w:textAlignment w:val="auto"/>
              <w:rPr>
                <w:rFonts w:hint="eastAsia" w:ascii="宋体" w:hAnsi="宋体" w:eastAsia="宋体" w:cs="宋体"/>
                <w:sz w:val="21"/>
                <w:szCs w:val="21"/>
              </w:rPr>
            </w:pPr>
            <w:r>
              <w:rPr>
                <w:rFonts w:hint="eastAsia" w:ascii="宋体" w:hAnsi="宋体" w:eastAsia="宋体" w:cs="宋体"/>
                <w:sz w:val="21"/>
                <w:szCs w:val="21"/>
              </w:rPr>
              <w:t>（3）具备公路水运工程试验检测师资格证书。</w:t>
            </w:r>
          </w:p>
        </w:tc>
        <w:tc>
          <w:tcPr>
            <w:tcW w:w="1735" w:type="dxa"/>
            <w:vMerge w:val="continue"/>
            <w:tcBorders>
              <w:left w:val="single" w:color="auto" w:sz="6" w:space="0"/>
              <w:bottom w:val="single" w:color="auto" w:sz="12" w:space="0"/>
              <w:right w:val="single" w:color="auto" w:sz="12" w:space="0"/>
            </w:tcBorders>
            <w:vAlign w:val="center"/>
          </w:tcPr>
          <w:p w14:paraId="2B58C22F">
            <w:pPr>
              <w:pageBreakBefore w:val="0"/>
              <w:widowControl/>
              <w:kinsoku/>
              <w:wordWrap/>
              <w:overflowPunct/>
              <w:topLinePunct w:val="0"/>
              <w:bidi w:val="0"/>
              <w:spacing w:line="360" w:lineRule="exact"/>
              <w:jc w:val="left"/>
              <w:textAlignment w:val="auto"/>
              <w:rPr>
                <w:rFonts w:hint="eastAsia" w:ascii="宋体" w:hAnsi="宋体" w:eastAsia="宋体" w:cs="宋体"/>
                <w:bCs/>
                <w:sz w:val="21"/>
                <w:szCs w:val="21"/>
              </w:rPr>
            </w:pPr>
          </w:p>
        </w:tc>
      </w:tr>
    </w:tbl>
    <w:p w14:paraId="45E57CF5">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61BA545A">
      <w:pPr>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三、评标办法</w:t>
      </w:r>
    </w:p>
    <w:p w14:paraId="4442FA3B">
      <w:pPr>
        <w:pageBreakBefore w:val="0"/>
        <w:tabs>
          <w:tab w:val="center" w:pos="4819"/>
        </w:tabs>
        <w:kinsoku/>
        <w:wordWrap/>
        <w:overflowPunct/>
        <w:topLinePunct w:val="0"/>
        <w:bidi w:val="0"/>
        <w:spacing w:line="360" w:lineRule="exact"/>
        <w:jc w:val="center"/>
        <w:textAlignment w:val="auto"/>
        <w:rPr>
          <w:rFonts w:hint="eastAsia" w:ascii="宋体" w:hAnsi="宋体" w:eastAsia="宋体" w:cs="宋体"/>
          <w:sz w:val="21"/>
          <w:szCs w:val="21"/>
        </w:rPr>
      </w:pPr>
      <w:bookmarkStart w:id="12" w:name="_Toc155612331"/>
      <w:r>
        <w:rPr>
          <w:rFonts w:hint="eastAsia" w:ascii="宋体" w:hAnsi="宋体" w:eastAsia="宋体" w:cs="宋体"/>
          <w:sz w:val="21"/>
          <w:szCs w:val="21"/>
        </w:rPr>
        <w:t>评标办法（综合评估法）</w:t>
      </w:r>
      <w:bookmarkEnd w:id="12"/>
    </w:p>
    <w:p w14:paraId="588674BC">
      <w:pPr>
        <w:pageBreakBefore w:val="0"/>
        <w:kinsoku/>
        <w:wordWrap/>
        <w:overflowPunct/>
        <w:topLinePunct w:val="0"/>
        <w:bidi w:val="0"/>
        <w:spacing w:line="360" w:lineRule="exact"/>
        <w:textAlignment w:val="auto"/>
        <w:outlineLvl w:val="1"/>
        <w:rPr>
          <w:rFonts w:hint="eastAsia" w:ascii="宋体" w:hAnsi="宋体" w:eastAsia="宋体" w:cs="宋体"/>
          <w:sz w:val="21"/>
          <w:szCs w:val="21"/>
        </w:rPr>
      </w:pPr>
      <w:bookmarkStart w:id="13" w:name="_Toc20020"/>
      <w:bookmarkStart w:id="14" w:name="bookmark91"/>
      <w:r>
        <w:rPr>
          <w:rFonts w:hint="eastAsia" w:ascii="宋体" w:hAnsi="宋体" w:eastAsia="宋体" w:cs="宋体"/>
          <w:sz w:val="21"/>
          <w:szCs w:val="21"/>
        </w:rPr>
        <w:t>评标办法前附表</w:t>
      </w:r>
      <w:bookmarkEnd w:id="13"/>
    </w:p>
    <w:tbl>
      <w:tblPr>
        <w:tblStyle w:val="9"/>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27"/>
        <w:gridCol w:w="7076"/>
      </w:tblGrid>
      <w:tr w14:paraId="2239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2486" w:type="dxa"/>
            <w:gridSpan w:val="2"/>
            <w:vAlign w:val="center"/>
          </w:tcPr>
          <w:p w14:paraId="39393F31">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Style w:val="30"/>
                <w:rFonts w:hint="eastAsia" w:ascii="宋体" w:hAnsi="宋体" w:eastAsia="宋体" w:cs="宋体"/>
                <w:sz w:val="21"/>
                <w:szCs w:val="21"/>
              </w:rPr>
              <w:t>条款号</w:t>
            </w:r>
          </w:p>
        </w:tc>
        <w:tc>
          <w:tcPr>
            <w:tcW w:w="7076" w:type="dxa"/>
            <w:vAlign w:val="center"/>
          </w:tcPr>
          <w:p w14:paraId="643A0E0B">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Style w:val="30"/>
                <w:rFonts w:hint="eastAsia" w:ascii="宋体" w:hAnsi="宋体" w:eastAsia="宋体" w:cs="宋体"/>
                <w:sz w:val="21"/>
                <w:szCs w:val="21"/>
              </w:rPr>
              <w:t>评审因素与评审标准</w:t>
            </w:r>
          </w:p>
        </w:tc>
      </w:tr>
      <w:tr w14:paraId="2939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AD36F44">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527" w:type="dxa"/>
            <w:vAlign w:val="center"/>
          </w:tcPr>
          <w:p w14:paraId="3C6030F6">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bidi="zh-TW"/>
              </w:rPr>
              <w:t>评标方法</w:t>
            </w:r>
          </w:p>
        </w:tc>
        <w:tc>
          <w:tcPr>
            <w:tcW w:w="7076" w:type="dxa"/>
          </w:tcPr>
          <w:p w14:paraId="51431C1E">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Style w:val="30"/>
                <w:rFonts w:hint="eastAsia" w:ascii="宋体" w:hAnsi="宋体" w:eastAsia="宋体" w:cs="宋体"/>
                <w:sz w:val="21"/>
                <w:szCs w:val="21"/>
                <w:lang w:eastAsia="zh-CN"/>
              </w:rPr>
              <w:t>综合评分相等时，评标委员会依次按照以下优先顺序推荐中标候选人：</w:t>
            </w:r>
          </w:p>
          <w:p w14:paraId="169A8112">
            <w:pPr>
              <w:pageBreakBefore w:val="0"/>
              <w:tabs>
                <w:tab w:val="left" w:pos="1070"/>
              </w:tabs>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Style w:val="30"/>
                <w:rFonts w:hint="eastAsia" w:ascii="宋体" w:hAnsi="宋体" w:eastAsia="宋体" w:cs="宋体"/>
                <w:sz w:val="21"/>
                <w:szCs w:val="21"/>
                <w:lang w:eastAsia="zh-CN"/>
              </w:rPr>
              <w:t>评标价低的投标人优先；</w:t>
            </w:r>
          </w:p>
          <w:p w14:paraId="40563EAB">
            <w:pPr>
              <w:pageBreakBefore w:val="0"/>
              <w:tabs>
                <w:tab w:val="left" w:pos="1078"/>
              </w:tabs>
              <w:kinsoku/>
              <w:wordWrap/>
              <w:overflowPunct/>
              <w:topLinePunct w:val="0"/>
              <w:bidi w:val="0"/>
              <w:spacing w:line="360" w:lineRule="exact"/>
              <w:ind w:left="420"/>
              <w:textAlignment w:val="auto"/>
              <w:rPr>
                <w:rStyle w:val="30"/>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shd w:val="clear" w:color="auto" w:fill="FFFFFF"/>
                <w:lang w:bidi="en-US"/>
              </w:rPr>
              <w:t>履约信誉得分较高的投标人优先</w:t>
            </w:r>
            <w:r>
              <w:rPr>
                <w:rFonts w:hint="eastAsia" w:ascii="宋体" w:hAnsi="宋体" w:eastAsia="宋体" w:cs="宋体"/>
                <w:sz w:val="21"/>
                <w:szCs w:val="21"/>
              </w:rPr>
              <w:t>；</w:t>
            </w:r>
          </w:p>
          <w:p w14:paraId="47AF09A0">
            <w:pPr>
              <w:pageBreakBefore w:val="0"/>
              <w:tabs>
                <w:tab w:val="left" w:pos="1078"/>
              </w:tabs>
              <w:kinsoku/>
              <w:wordWrap/>
              <w:overflowPunct/>
              <w:topLinePunct w:val="0"/>
              <w:bidi w:val="0"/>
              <w:spacing w:line="360" w:lineRule="exact"/>
              <w:ind w:left="420"/>
              <w:textAlignment w:val="auto"/>
              <w:rPr>
                <w:rStyle w:val="30"/>
                <w:rFonts w:hint="eastAsia" w:ascii="宋体" w:hAnsi="宋体" w:eastAsia="宋体" w:cs="宋体"/>
                <w:sz w:val="21"/>
                <w:szCs w:val="21"/>
                <w:lang w:eastAsia="zh-CN"/>
              </w:rPr>
            </w:pPr>
            <w:r>
              <w:rPr>
                <w:rFonts w:hint="eastAsia" w:ascii="宋体" w:hAnsi="宋体" w:eastAsia="宋体" w:cs="宋体"/>
                <w:sz w:val="21"/>
                <w:szCs w:val="21"/>
              </w:rPr>
              <w:t>（3）</w:t>
            </w:r>
            <w:r>
              <w:rPr>
                <w:rStyle w:val="30"/>
                <w:rFonts w:hint="eastAsia" w:ascii="宋体" w:hAnsi="宋体" w:eastAsia="宋体" w:cs="宋体"/>
                <w:sz w:val="21"/>
                <w:szCs w:val="21"/>
                <w:lang w:eastAsia="zh-CN"/>
              </w:rPr>
              <w:t>人员得分较高的投标人优先；</w:t>
            </w:r>
          </w:p>
          <w:p w14:paraId="2111215C">
            <w:pPr>
              <w:pageBreakBefore w:val="0"/>
              <w:tabs>
                <w:tab w:val="left" w:pos="1078"/>
              </w:tabs>
              <w:kinsoku/>
              <w:wordWrap/>
              <w:overflowPunct/>
              <w:topLinePunct w:val="0"/>
              <w:bidi w:val="0"/>
              <w:spacing w:line="360" w:lineRule="exact"/>
              <w:ind w:left="420"/>
              <w:textAlignment w:val="auto"/>
              <w:rPr>
                <w:rFonts w:hint="eastAsia" w:ascii="宋体" w:hAnsi="宋体" w:eastAsia="宋体" w:cs="宋体"/>
                <w:sz w:val="21"/>
                <w:szCs w:val="21"/>
              </w:rPr>
            </w:pPr>
            <w:r>
              <w:rPr>
                <w:rFonts w:hint="eastAsia" w:ascii="宋体" w:hAnsi="宋体" w:eastAsia="宋体" w:cs="宋体"/>
                <w:sz w:val="21"/>
                <w:szCs w:val="21"/>
              </w:rPr>
              <w:t>（4）评标委员会投票表决。</w:t>
            </w:r>
          </w:p>
        </w:tc>
      </w:tr>
      <w:tr w14:paraId="2E2B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vAlign w:val="center"/>
          </w:tcPr>
          <w:p w14:paraId="1DC6D590">
            <w:pPr>
              <w:pStyle w:val="18"/>
              <w:pageBreakBefore w:val="0"/>
              <w:shd w:val="clear" w:color="auto" w:fill="auto"/>
              <w:kinsoku/>
              <w:wordWrap/>
              <w:overflowPunct/>
              <w:topLinePunct w:val="0"/>
              <w:bidi w:val="0"/>
              <w:spacing w:before="0" w:line="360" w:lineRule="exact"/>
              <w:jc w:val="left"/>
              <w:textAlignment w:val="auto"/>
              <w:rPr>
                <w:rStyle w:val="30"/>
                <w:rFonts w:hint="eastAsia" w:ascii="宋体" w:hAnsi="宋体" w:eastAsia="宋体" w:cs="宋体"/>
                <w:sz w:val="21"/>
                <w:szCs w:val="21"/>
                <w:lang w:eastAsia="zh-CN"/>
              </w:rPr>
            </w:pPr>
            <w:r>
              <w:rPr>
                <w:rStyle w:val="30"/>
                <w:rFonts w:hint="eastAsia" w:ascii="宋体" w:hAnsi="宋体" w:eastAsia="宋体" w:cs="宋体"/>
                <w:sz w:val="21"/>
                <w:szCs w:val="21"/>
              </w:rPr>
              <w:t>2.1.2</w:t>
            </w:r>
          </w:p>
          <w:p w14:paraId="6FFBC722">
            <w:pPr>
              <w:pStyle w:val="18"/>
              <w:pageBreakBefore w:val="0"/>
              <w:shd w:val="clear" w:color="auto" w:fill="auto"/>
              <w:kinsoku/>
              <w:wordWrap/>
              <w:overflowPunct/>
              <w:topLinePunct w:val="0"/>
              <w:bidi w:val="0"/>
              <w:spacing w:before="0" w:line="360" w:lineRule="exact"/>
              <w:jc w:val="left"/>
              <w:textAlignment w:val="auto"/>
              <w:rPr>
                <w:rFonts w:hint="eastAsia" w:ascii="宋体" w:hAnsi="宋体" w:eastAsia="宋体" w:cs="宋体"/>
                <w:color w:val="000000"/>
                <w:sz w:val="21"/>
                <w:szCs w:val="21"/>
                <w:shd w:val="clear" w:color="auto" w:fill="FFFFFF"/>
                <w:lang w:bidi="en-US"/>
              </w:rPr>
            </w:pPr>
            <w:r>
              <w:rPr>
                <w:rStyle w:val="30"/>
                <w:rFonts w:hint="eastAsia" w:ascii="宋体" w:hAnsi="宋体" w:eastAsia="宋体" w:cs="宋体"/>
                <w:sz w:val="21"/>
                <w:szCs w:val="21"/>
              </w:rPr>
              <w:t>2.1.</w:t>
            </w:r>
            <w:r>
              <w:rPr>
                <w:rStyle w:val="30"/>
                <w:rFonts w:hint="eastAsia" w:ascii="宋体" w:hAnsi="宋体" w:eastAsia="宋体" w:cs="宋体"/>
                <w:sz w:val="21"/>
                <w:szCs w:val="21"/>
                <w:lang w:eastAsia="zh-CN"/>
              </w:rPr>
              <w:t>3</w:t>
            </w:r>
          </w:p>
        </w:tc>
        <w:tc>
          <w:tcPr>
            <w:tcW w:w="1527" w:type="dxa"/>
            <w:vAlign w:val="center"/>
          </w:tcPr>
          <w:p w14:paraId="29134AAE">
            <w:pPr>
              <w:pageBreakBefore w:val="0"/>
              <w:kinsoku/>
              <w:wordWrap/>
              <w:overflowPunct/>
              <w:topLinePunct w:val="0"/>
              <w:bidi w:val="0"/>
              <w:spacing w:line="360" w:lineRule="exact"/>
              <w:jc w:val="center"/>
              <w:textAlignment w:val="auto"/>
              <w:rPr>
                <w:rFonts w:hint="eastAsia" w:ascii="宋体" w:hAnsi="宋体" w:eastAsia="宋体" w:cs="宋体"/>
                <w:sz w:val="21"/>
                <w:szCs w:val="21"/>
                <w:lang w:bidi="zh-TW"/>
              </w:rPr>
            </w:pPr>
            <w:r>
              <w:rPr>
                <w:rFonts w:hint="eastAsia" w:ascii="宋体" w:hAnsi="宋体" w:eastAsia="宋体" w:cs="宋体"/>
                <w:sz w:val="21"/>
                <w:szCs w:val="21"/>
                <w:lang w:bidi="zh-TW"/>
              </w:rPr>
              <w:t>第一信封</w:t>
            </w:r>
          </w:p>
          <w:p w14:paraId="6424BB44">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bidi="zh-TW"/>
              </w:rPr>
              <w:t>形式评审与响应性评审标准</w:t>
            </w:r>
          </w:p>
        </w:tc>
        <w:tc>
          <w:tcPr>
            <w:tcW w:w="7076" w:type="dxa"/>
          </w:tcPr>
          <w:p w14:paraId="6CFC373D">
            <w:pPr>
              <w:pageBreakBefore w:val="0"/>
              <w:kinsoku/>
              <w:wordWrap/>
              <w:overflowPunct/>
              <w:topLinePunct w:val="0"/>
              <w:bidi w:val="0"/>
              <w:spacing w:line="360" w:lineRule="exact"/>
              <w:textAlignment w:val="auto"/>
              <w:rPr>
                <w:rFonts w:hint="eastAsia" w:ascii="宋体" w:hAnsi="宋体" w:eastAsia="宋体" w:cs="宋体"/>
                <w:sz w:val="21"/>
                <w:szCs w:val="21"/>
                <w:lang w:bidi="zh-TW"/>
              </w:rPr>
            </w:pPr>
            <w:r>
              <w:rPr>
                <w:rFonts w:hint="eastAsia" w:ascii="宋体" w:hAnsi="宋体" w:eastAsia="宋体" w:cs="宋体"/>
                <w:b/>
                <w:bCs/>
                <w:sz w:val="21"/>
                <w:szCs w:val="21"/>
                <w:lang w:bidi="zh-TW"/>
              </w:rPr>
              <w:t>第一个信封（商务及技术文件）评审标准：</w:t>
            </w:r>
          </w:p>
          <w:p w14:paraId="22E00EE1">
            <w:pPr>
              <w:pageBreakBefore w:val="0"/>
              <w:tabs>
                <w:tab w:val="left" w:pos="1029"/>
                <w:tab w:val="left" w:pos="1194"/>
              </w:tabs>
              <w:kinsoku/>
              <w:wordWrap/>
              <w:overflowPunct/>
              <w:topLinePunct w:val="0"/>
              <w:bidi w:val="0"/>
              <w:spacing w:line="360" w:lineRule="exact"/>
              <w:ind w:firstLine="420" w:firstLineChars="200"/>
              <w:textAlignment w:val="auto"/>
              <w:rPr>
                <w:rFonts w:hint="eastAsia" w:ascii="宋体" w:hAnsi="宋体" w:eastAsia="宋体" w:cs="宋体"/>
                <w:sz w:val="21"/>
                <w:szCs w:val="21"/>
                <w:lang w:bidi="zh-TW"/>
              </w:rPr>
            </w:pPr>
            <w:r>
              <w:rPr>
                <w:rFonts w:hint="eastAsia" w:ascii="宋体" w:hAnsi="宋体" w:eastAsia="宋体" w:cs="宋体"/>
                <w:sz w:val="21"/>
                <w:szCs w:val="21"/>
                <w:lang w:bidi="zh-TW"/>
              </w:rPr>
              <w:t>（1）</w:t>
            </w:r>
            <w:r>
              <w:rPr>
                <w:rFonts w:hint="eastAsia" w:ascii="宋体" w:hAnsi="宋体" w:eastAsia="宋体" w:cs="宋体"/>
                <w:sz w:val="21"/>
                <w:szCs w:val="21"/>
                <w:lang w:bidi="zh-TW"/>
              </w:rPr>
              <w:t>投标文件按照招标文件规定的格式、内容填写，字迹清晰可辨：</w:t>
            </w:r>
          </w:p>
          <w:p w14:paraId="08A7A0FD">
            <w:pPr>
              <w:pageBreakBefore w:val="0"/>
              <w:tabs>
                <w:tab w:val="left" w:pos="1029"/>
                <w:tab w:val="left" w:pos="1194"/>
              </w:tabs>
              <w:kinsoku/>
              <w:wordWrap/>
              <w:overflowPunct/>
              <w:topLinePunct w:val="0"/>
              <w:bidi w:val="0"/>
              <w:spacing w:line="360" w:lineRule="exact"/>
              <w:ind w:firstLine="420" w:firstLineChars="200"/>
              <w:textAlignment w:val="auto"/>
              <w:rPr>
                <w:rFonts w:hint="eastAsia" w:ascii="宋体" w:hAnsi="宋体" w:eastAsia="宋体" w:cs="宋体"/>
                <w:sz w:val="21"/>
                <w:szCs w:val="21"/>
                <w:lang w:bidi="zh-TW"/>
              </w:rPr>
            </w:pPr>
            <w:r>
              <w:rPr>
                <w:rFonts w:hint="eastAsia" w:ascii="宋体" w:hAnsi="宋体" w:eastAsia="宋体" w:cs="宋体"/>
                <w:sz w:val="21"/>
                <w:szCs w:val="21"/>
                <w:lang w:bidi="zh-TW"/>
              </w:rPr>
              <w:t>a.</w:t>
            </w:r>
            <w:r>
              <w:rPr>
                <w:rFonts w:hint="eastAsia" w:ascii="宋体" w:hAnsi="宋体" w:eastAsia="宋体" w:cs="宋体"/>
                <w:sz w:val="21"/>
                <w:szCs w:val="21"/>
                <w:lang w:bidi="zh-TW"/>
              </w:rPr>
              <w:t>投标函按招标文件规定填报了项目名称、标段号、补遗书编号（如有)、监理服务期限、工程质量要求及安全目标；</w:t>
            </w:r>
          </w:p>
          <w:p w14:paraId="21D7B5D2">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lang w:bidi="zh-TW"/>
              </w:rPr>
            </w:pPr>
            <w:r>
              <w:rPr>
                <w:rFonts w:hint="eastAsia" w:ascii="宋体" w:hAnsi="宋体" w:eastAsia="宋体" w:cs="宋体"/>
                <w:sz w:val="21"/>
                <w:szCs w:val="21"/>
                <w:lang w:bidi="zh-TW"/>
              </w:rPr>
              <w:t>b.</w:t>
            </w:r>
            <w:r>
              <w:rPr>
                <w:rFonts w:hint="eastAsia" w:ascii="宋体" w:hAnsi="宋体" w:eastAsia="宋体" w:cs="宋体"/>
                <w:sz w:val="21"/>
                <w:szCs w:val="21"/>
                <w:lang w:bidi="zh-TW"/>
              </w:rPr>
              <w:t>投标文件组成齐全完整，内容均按规定填写。</w:t>
            </w:r>
          </w:p>
          <w:p w14:paraId="6B66FDB2">
            <w:pPr>
              <w:pageBreakBefore w:val="0"/>
              <w:tabs>
                <w:tab w:val="left" w:pos="1168"/>
              </w:tabs>
              <w:kinsoku/>
              <w:wordWrap/>
              <w:overflowPunct/>
              <w:topLinePunct w:val="0"/>
              <w:bidi w:val="0"/>
              <w:spacing w:line="360" w:lineRule="exact"/>
              <w:ind w:firstLine="420" w:firstLineChars="200"/>
              <w:textAlignment w:val="auto"/>
              <w:rPr>
                <w:rFonts w:hint="eastAsia" w:ascii="宋体" w:hAnsi="宋体" w:eastAsia="宋体" w:cs="宋体"/>
                <w:sz w:val="21"/>
                <w:szCs w:val="21"/>
                <w:lang w:bidi="zh-TW"/>
              </w:rPr>
            </w:pPr>
            <w:r>
              <w:rPr>
                <w:rFonts w:hint="eastAsia" w:ascii="宋体" w:hAnsi="宋体" w:eastAsia="宋体" w:cs="宋体"/>
                <w:sz w:val="21"/>
                <w:szCs w:val="21"/>
                <w:lang w:bidi="zh-TW"/>
              </w:rPr>
              <w:t>（2）</w:t>
            </w:r>
            <w:r>
              <w:rPr>
                <w:rFonts w:hint="eastAsia" w:ascii="宋体" w:hAnsi="宋体" w:eastAsia="宋体" w:cs="宋体"/>
                <w:sz w:val="21"/>
                <w:szCs w:val="21"/>
                <w:lang w:bidi="zh-TW"/>
              </w:rPr>
              <w:t>投标文件上法定代表人或其委托代理人的签字、投标人的单位章盖章齐全，符合招标文件规定。</w:t>
            </w:r>
          </w:p>
          <w:p w14:paraId="691F8FA5">
            <w:pPr>
              <w:pageBreakBefore w:val="0"/>
              <w:tabs>
                <w:tab w:val="left" w:pos="1168"/>
              </w:tabs>
              <w:kinsoku/>
              <w:wordWrap/>
              <w:overflowPunct/>
              <w:topLinePunct w:val="0"/>
              <w:bidi w:val="0"/>
              <w:spacing w:line="360" w:lineRule="exact"/>
              <w:ind w:firstLine="420" w:firstLineChars="200"/>
              <w:textAlignment w:val="auto"/>
              <w:rPr>
                <w:rFonts w:hint="eastAsia" w:ascii="宋体" w:hAnsi="宋体" w:eastAsia="宋体" w:cs="宋体"/>
                <w:sz w:val="21"/>
                <w:szCs w:val="21"/>
                <w:lang w:bidi="zh-TW"/>
              </w:rPr>
            </w:pPr>
            <w:r>
              <w:rPr>
                <w:rFonts w:hint="eastAsia" w:ascii="宋体" w:hAnsi="宋体" w:eastAsia="宋体" w:cs="宋体"/>
                <w:sz w:val="21"/>
                <w:szCs w:val="21"/>
                <w:lang w:bidi="zh-TW"/>
              </w:rPr>
              <w:t>（3）</w:t>
            </w:r>
            <w:r>
              <w:rPr>
                <w:rFonts w:hint="eastAsia" w:ascii="宋体" w:hAnsi="宋体" w:eastAsia="宋体" w:cs="宋体"/>
                <w:sz w:val="21"/>
                <w:szCs w:val="21"/>
                <w:lang w:bidi="zh-TW"/>
              </w:rPr>
              <w:t>投标人按照招标文件的规定提供了投标保证金：</w:t>
            </w:r>
          </w:p>
          <w:p w14:paraId="7AD6A20D">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lang w:bidi="zh-TW"/>
              </w:rPr>
            </w:pPr>
            <w:r>
              <w:rPr>
                <w:rFonts w:hint="eastAsia" w:ascii="宋体" w:hAnsi="宋体" w:eastAsia="宋体" w:cs="宋体"/>
                <w:sz w:val="21"/>
                <w:szCs w:val="21"/>
                <w:lang w:bidi="en-US"/>
              </w:rPr>
              <w:t>a</w:t>
            </w:r>
            <w:r>
              <w:rPr>
                <w:rFonts w:hint="eastAsia" w:ascii="宋体" w:hAnsi="宋体" w:eastAsia="宋体" w:cs="宋体"/>
                <w:b/>
                <w:bCs/>
                <w:sz w:val="21"/>
                <w:szCs w:val="21"/>
                <w:lang w:bidi="en-US"/>
              </w:rPr>
              <w:t>.</w:t>
            </w:r>
            <w:r>
              <w:rPr>
                <w:rFonts w:hint="eastAsia" w:ascii="宋体" w:hAnsi="宋体" w:eastAsia="宋体" w:cs="宋体"/>
                <w:sz w:val="21"/>
                <w:szCs w:val="21"/>
                <w:lang w:bidi="zh-TW"/>
              </w:rPr>
              <w:t>投标保证金金额符合招标文件规定的金额，且投标保证金有效期不少于投标有效期；</w:t>
            </w:r>
          </w:p>
          <w:p w14:paraId="1713C942">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lang w:bidi="zh-TW"/>
              </w:rPr>
            </w:pPr>
            <w:r>
              <w:rPr>
                <w:rFonts w:hint="eastAsia" w:ascii="宋体" w:hAnsi="宋体" w:eastAsia="宋体" w:cs="宋体"/>
                <w:sz w:val="21"/>
                <w:szCs w:val="21"/>
                <w:lang w:bidi="en-US"/>
              </w:rPr>
              <w:t>b</w:t>
            </w:r>
            <w:r>
              <w:rPr>
                <w:rFonts w:hint="eastAsia" w:ascii="宋体" w:hAnsi="宋体" w:eastAsia="宋体" w:cs="宋体"/>
                <w:b/>
                <w:bCs/>
                <w:sz w:val="21"/>
                <w:szCs w:val="21"/>
                <w:lang w:bidi="en-US"/>
              </w:rPr>
              <w:t>.</w:t>
            </w:r>
            <w:r>
              <w:rPr>
                <w:rFonts w:hint="eastAsia" w:ascii="宋体" w:hAnsi="宋体" w:eastAsia="宋体" w:cs="宋体"/>
                <w:sz w:val="21"/>
                <w:szCs w:val="21"/>
                <w:lang w:bidi="zh-TW"/>
              </w:rPr>
              <w:t>若投标保证金采用现金或支票形式提交，投标人应在递交投标文件截止时间之前，将投标保证金由投标人的基本账户转入招标人指定账户；</w:t>
            </w:r>
          </w:p>
          <w:p w14:paraId="6D1C9841">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lang w:bidi="zh-TW"/>
              </w:rPr>
            </w:pPr>
            <w:r>
              <w:rPr>
                <w:rFonts w:hint="eastAsia" w:ascii="宋体" w:hAnsi="宋体" w:eastAsia="宋体" w:cs="宋体"/>
                <w:sz w:val="21"/>
                <w:szCs w:val="21"/>
                <w:lang w:bidi="en-US"/>
              </w:rPr>
              <w:t>c</w:t>
            </w:r>
            <w:r>
              <w:rPr>
                <w:rFonts w:hint="eastAsia" w:ascii="宋体" w:hAnsi="宋体" w:eastAsia="宋体" w:cs="宋体"/>
                <w:b/>
                <w:bCs/>
                <w:sz w:val="21"/>
                <w:szCs w:val="21"/>
                <w:lang w:bidi="en-US"/>
              </w:rPr>
              <w:t>.</w:t>
            </w:r>
            <w:r>
              <w:rPr>
                <w:rFonts w:hint="eastAsia" w:ascii="宋体" w:hAnsi="宋体" w:eastAsia="宋体" w:cs="宋体"/>
                <w:sz w:val="21"/>
                <w:szCs w:val="21"/>
                <w:lang w:bidi="zh-TW"/>
              </w:rPr>
              <w:t>若投标保证金采用保函形式提交，</w:t>
            </w:r>
            <w:r>
              <w:rPr>
                <w:rFonts w:hint="eastAsia" w:ascii="宋体" w:hAnsi="宋体" w:eastAsia="宋体" w:cs="宋体"/>
                <w:bCs/>
                <w:sz w:val="21"/>
                <w:szCs w:val="21"/>
              </w:rPr>
              <w:t>应满足一体化平台相关要求</w:t>
            </w:r>
            <w:r>
              <w:rPr>
                <w:rFonts w:hint="eastAsia" w:ascii="宋体" w:hAnsi="宋体" w:eastAsia="宋体" w:cs="宋体"/>
                <w:bCs/>
                <w:sz w:val="21"/>
                <w:szCs w:val="21"/>
                <w:lang w:val="zh-CN"/>
              </w:rPr>
              <w:t>。</w:t>
            </w:r>
          </w:p>
          <w:p w14:paraId="7D09E70D">
            <w:pPr>
              <w:pageBreakBefore w:val="0"/>
              <w:tabs>
                <w:tab w:val="left" w:pos="1168"/>
              </w:tabs>
              <w:kinsoku/>
              <w:wordWrap/>
              <w:overflowPunct/>
              <w:topLinePunct w:val="0"/>
              <w:bidi w:val="0"/>
              <w:spacing w:line="360" w:lineRule="exact"/>
              <w:ind w:firstLine="420" w:firstLineChars="200"/>
              <w:textAlignment w:val="auto"/>
              <w:rPr>
                <w:rFonts w:hint="eastAsia" w:ascii="宋体" w:hAnsi="宋体" w:eastAsia="宋体" w:cs="宋体"/>
                <w:sz w:val="21"/>
                <w:szCs w:val="21"/>
                <w:lang w:bidi="zh-TW"/>
              </w:rPr>
            </w:pPr>
            <w:r>
              <w:rPr>
                <w:rFonts w:hint="eastAsia" w:ascii="宋体" w:hAnsi="宋体" w:eastAsia="宋体" w:cs="宋体"/>
                <w:sz w:val="21"/>
                <w:szCs w:val="21"/>
                <w:lang w:bidi="zh-TW"/>
              </w:rPr>
              <w:t>（4）</w:t>
            </w:r>
            <w:r>
              <w:rPr>
                <w:rFonts w:hint="eastAsia" w:ascii="宋体" w:hAnsi="宋体" w:eastAsia="宋体" w:cs="宋体"/>
                <w:sz w:val="21"/>
                <w:szCs w:val="21"/>
                <w:lang w:bidi="zh-TW"/>
              </w:rPr>
              <w:t>投标人法定代表人授权委托代理人签署投标文件的，须提交授权委托书，且授权人和被授权人均在授权委托书上签名。</w:t>
            </w:r>
          </w:p>
          <w:p w14:paraId="7FF1DE39">
            <w:pPr>
              <w:pageBreakBefore w:val="0"/>
              <w:tabs>
                <w:tab w:val="left" w:pos="1168"/>
              </w:tabs>
              <w:kinsoku/>
              <w:wordWrap/>
              <w:overflowPunct/>
              <w:topLinePunct w:val="0"/>
              <w:bidi w:val="0"/>
              <w:spacing w:line="360" w:lineRule="exact"/>
              <w:ind w:firstLine="420" w:firstLineChars="200"/>
              <w:textAlignment w:val="auto"/>
              <w:rPr>
                <w:rFonts w:hint="eastAsia" w:ascii="宋体" w:hAnsi="宋体" w:eastAsia="宋体" w:cs="宋体"/>
                <w:sz w:val="21"/>
                <w:szCs w:val="21"/>
                <w:lang w:bidi="zh-TW"/>
              </w:rPr>
            </w:pPr>
            <w:r>
              <w:rPr>
                <w:rFonts w:hint="eastAsia" w:ascii="宋体" w:hAnsi="宋体" w:eastAsia="宋体" w:cs="宋体"/>
                <w:sz w:val="21"/>
                <w:szCs w:val="21"/>
                <w:lang w:bidi="zh-TW"/>
              </w:rPr>
              <w:t>（5）</w:t>
            </w:r>
            <w:r>
              <w:rPr>
                <w:rFonts w:hint="eastAsia" w:ascii="宋体" w:hAnsi="宋体" w:eastAsia="宋体" w:cs="宋体"/>
                <w:sz w:val="21"/>
                <w:szCs w:val="21"/>
                <w:lang w:bidi="zh-TW"/>
              </w:rPr>
              <w:t>投标人法定代表人亲自签署投标文件的，提供了法定代表人身份证明，且法定代表人在法定代表人身份证明上签名。</w:t>
            </w:r>
          </w:p>
          <w:p w14:paraId="7CE71E53">
            <w:pPr>
              <w:pageBreakBefore w:val="0"/>
              <w:tabs>
                <w:tab w:val="left" w:pos="1168"/>
              </w:tabs>
              <w:kinsoku/>
              <w:wordWrap/>
              <w:overflowPunct/>
              <w:topLinePunct w:val="0"/>
              <w:bidi w:val="0"/>
              <w:spacing w:line="360" w:lineRule="exact"/>
              <w:ind w:firstLine="420" w:firstLineChars="200"/>
              <w:textAlignment w:val="auto"/>
              <w:rPr>
                <w:rFonts w:hint="eastAsia" w:ascii="宋体" w:hAnsi="宋体" w:eastAsia="宋体" w:cs="宋体"/>
                <w:sz w:val="21"/>
                <w:szCs w:val="21"/>
                <w:lang w:bidi="zh-TW"/>
              </w:rPr>
            </w:pPr>
            <w:r>
              <w:rPr>
                <w:rFonts w:hint="eastAsia" w:ascii="宋体" w:hAnsi="宋体" w:eastAsia="宋体" w:cs="宋体"/>
                <w:sz w:val="21"/>
                <w:szCs w:val="21"/>
                <w:lang w:bidi="zh-TW"/>
              </w:rPr>
              <w:t>（6）</w:t>
            </w:r>
            <w:r>
              <w:rPr>
                <w:rFonts w:hint="eastAsia" w:ascii="宋体" w:hAnsi="宋体" w:eastAsia="宋体" w:cs="宋体"/>
                <w:sz w:val="21"/>
                <w:szCs w:val="21"/>
                <w:lang w:bidi="zh-TW"/>
              </w:rPr>
              <w:t>投标人以联合体形式投标</w:t>
            </w:r>
            <w:r>
              <w:rPr>
                <w:rFonts w:hint="eastAsia" w:ascii="宋体" w:hAnsi="宋体" w:eastAsia="宋体" w:cs="宋体"/>
                <w:sz w:val="21"/>
                <w:szCs w:val="21"/>
                <w:lang w:bidi="zh-TW"/>
              </w:rPr>
              <w:t>时，按照招标文件提供的格式签订了联合体协议书，明确各方承担连带责任，并明确了联合体牵头人。</w:t>
            </w:r>
          </w:p>
          <w:p w14:paraId="49834C77">
            <w:pPr>
              <w:pageBreakBefore w:val="0"/>
              <w:tabs>
                <w:tab w:val="left" w:pos="984"/>
                <w:tab w:val="left" w:pos="1168"/>
              </w:tabs>
              <w:kinsoku/>
              <w:wordWrap/>
              <w:overflowPunct/>
              <w:topLinePunct w:val="0"/>
              <w:bidi w:val="0"/>
              <w:spacing w:line="360" w:lineRule="exact"/>
              <w:ind w:firstLine="420" w:firstLineChars="200"/>
              <w:textAlignment w:val="auto"/>
              <w:rPr>
                <w:rFonts w:hint="eastAsia" w:ascii="宋体" w:hAnsi="宋体" w:eastAsia="宋体" w:cs="宋体"/>
                <w:sz w:val="21"/>
                <w:szCs w:val="21"/>
                <w:lang w:bidi="zh-TW"/>
              </w:rPr>
            </w:pPr>
            <w:r>
              <w:rPr>
                <w:rFonts w:hint="eastAsia" w:ascii="宋体" w:hAnsi="宋体" w:eastAsia="宋体" w:cs="宋体"/>
                <w:sz w:val="21"/>
                <w:szCs w:val="21"/>
                <w:lang w:bidi="zh-TW"/>
              </w:rPr>
              <w:t>（7）</w:t>
            </w:r>
            <w:r>
              <w:rPr>
                <w:rFonts w:hint="eastAsia" w:ascii="宋体" w:hAnsi="宋体" w:eastAsia="宋体" w:cs="宋体"/>
                <w:sz w:val="21"/>
                <w:szCs w:val="21"/>
                <w:lang w:bidi="zh-TW"/>
              </w:rPr>
              <w:t>同一投标人未提交两个以上不同的投标文件，但招标文件要求提交备选投标的除外。</w:t>
            </w:r>
          </w:p>
          <w:p w14:paraId="4D1943E0">
            <w:pPr>
              <w:pageBreakBefore w:val="0"/>
              <w:tabs>
                <w:tab w:val="left" w:pos="984"/>
                <w:tab w:val="left" w:pos="1168"/>
              </w:tabs>
              <w:kinsoku/>
              <w:wordWrap/>
              <w:overflowPunct/>
              <w:topLinePunct w:val="0"/>
              <w:bidi w:val="0"/>
              <w:spacing w:line="360" w:lineRule="exact"/>
              <w:ind w:firstLine="420" w:firstLineChars="200"/>
              <w:textAlignment w:val="auto"/>
              <w:rPr>
                <w:rFonts w:hint="eastAsia" w:ascii="宋体" w:hAnsi="宋体" w:eastAsia="宋体" w:cs="宋体"/>
                <w:sz w:val="21"/>
                <w:szCs w:val="21"/>
                <w:lang w:bidi="zh-TW"/>
              </w:rPr>
            </w:pPr>
            <w:r>
              <w:rPr>
                <w:rFonts w:hint="eastAsia" w:ascii="宋体" w:hAnsi="宋体" w:eastAsia="宋体" w:cs="宋体"/>
                <w:sz w:val="21"/>
                <w:szCs w:val="21"/>
                <w:lang w:bidi="zh-TW"/>
              </w:rPr>
              <w:t>（8）</w:t>
            </w:r>
            <w:r>
              <w:rPr>
                <w:rFonts w:hint="eastAsia" w:ascii="宋体" w:hAnsi="宋体" w:eastAsia="宋体" w:cs="宋体"/>
                <w:sz w:val="21"/>
                <w:szCs w:val="21"/>
                <w:lang w:bidi="zh-TW"/>
              </w:rPr>
              <w:t>投标文件中未出现有关投标报价的内容。</w:t>
            </w:r>
          </w:p>
          <w:p w14:paraId="5D4DCFA0">
            <w:pPr>
              <w:pageBreakBefore w:val="0"/>
              <w:tabs>
                <w:tab w:val="left" w:pos="984"/>
                <w:tab w:val="left" w:pos="1168"/>
              </w:tabs>
              <w:kinsoku/>
              <w:wordWrap/>
              <w:overflowPunct/>
              <w:topLinePunct w:val="0"/>
              <w:bidi w:val="0"/>
              <w:spacing w:line="360" w:lineRule="exact"/>
              <w:ind w:firstLine="420" w:firstLineChars="200"/>
              <w:jc w:val="left"/>
              <w:textAlignment w:val="auto"/>
              <w:rPr>
                <w:rFonts w:hint="eastAsia" w:ascii="宋体" w:hAnsi="宋体" w:eastAsia="宋体" w:cs="宋体"/>
                <w:sz w:val="21"/>
                <w:szCs w:val="21"/>
                <w:lang w:bidi="zh-TW"/>
              </w:rPr>
            </w:pPr>
            <w:r>
              <w:rPr>
                <w:rFonts w:hint="eastAsia" w:ascii="宋体" w:hAnsi="宋体" w:eastAsia="宋体" w:cs="宋体"/>
                <w:sz w:val="21"/>
                <w:szCs w:val="21"/>
                <w:lang w:bidi="zh-TW"/>
              </w:rPr>
              <w:t>（9）</w:t>
            </w:r>
            <w:r>
              <w:rPr>
                <w:rFonts w:hint="eastAsia" w:ascii="宋体" w:hAnsi="宋体" w:eastAsia="宋体" w:cs="宋体"/>
                <w:sz w:val="21"/>
                <w:szCs w:val="21"/>
                <w:lang w:bidi="zh-TW"/>
              </w:rPr>
              <w:t>投标文件载明的招标项目完成期限未超过招标文件规定的时限。</w:t>
            </w:r>
          </w:p>
          <w:p w14:paraId="0D231282">
            <w:pPr>
              <w:pageBreakBefore w:val="0"/>
              <w:tabs>
                <w:tab w:val="left" w:pos="1168"/>
                <w:tab w:val="left" w:pos="1310"/>
              </w:tabs>
              <w:kinsoku/>
              <w:wordWrap/>
              <w:overflowPunct/>
              <w:topLinePunct w:val="0"/>
              <w:bidi w:val="0"/>
              <w:spacing w:line="360" w:lineRule="exact"/>
              <w:ind w:firstLine="420" w:firstLineChars="200"/>
              <w:jc w:val="left"/>
              <w:textAlignment w:val="auto"/>
              <w:rPr>
                <w:rFonts w:hint="eastAsia" w:ascii="宋体" w:hAnsi="宋体" w:eastAsia="宋体" w:cs="宋体"/>
                <w:sz w:val="21"/>
                <w:szCs w:val="21"/>
                <w:lang w:bidi="zh-TW"/>
              </w:rPr>
            </w:pPr>
            <w:r>
              <w:rPr>
                <w:rFonts w:hint="eastAsia" w:ascii="宋体" w:hAnsi="宋体" w:eastAsia="宋体" w:cs="宋体"/>
                <w:sz w:val="21"/>
                <w:szCs w:val="21"/>
                <w:lang w:bidi="zh-TW"/>
              </w:rPr>
              <w:t>（10）</w:t>
            </w:r>
            <w:r>
              <w:rPr>
                <w:rFonts w:hint="eastAsia" w:ascii="宋体" w:hAnsi="宋体" w:eastAsia="宋体" w:cs="宋体"/>
                <w:sz w:val="21"/>
                <w:szCs w:val="21"/>
                <w:lang w:bidi="zh-TW"/>
              </w:rPr>
              <w:t>投标文件对招标文件的实质性要求和条件作出响应。</w:t>
            </w:r>
          </w:p>
          <w:p w14:paraId="1589AF7D">
            <w:pPr>
              <w:pageBreakBefore w:val="0"/>
              <w:tabs>
                <w:tab w:val="left" w:pos="1168"/>
                <w:tab w:val="left" w:pos="1310"/>
              </w:tabs>
              <w:kinsoku/>
              <w:wordWrap/>
              <w:overflowPunct/>
              <w:topLinePunct w:val="0"/>
              <w:bidi w:val="0"/>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zh-TW"/>
              </w:rPr>
              <w:t>（11）权</w:t>
            </w:r>
            <w:r>
              <w:rPr>
                <w:rFonts w:hint="eastAsia" w:ascii="宋体" w:hAnsi="宋体" w:eastAsia="宋体" w:cs="宋体"/>
                <w:sz w:val="21"/>
                <w:szCs w:val="21"/>
              </w:rPr>
              <w:t>利义务符合招标文件规定：</w:t>
            </w:r>
          </w:p>
          <w:p w14:paraId="5E1E12F8">
            <w:pPr>
              <w:pageBreakBefore w:val="0"/>
              <w:kinsoku/>
              <w:wordWrap/>
              <w:overflowPunct/>
              <w:topLinePunct w:val="0"/>
              <w:bidi w:val="0"/>
              <w:spacing w:line="360" w:lineRule="exact"/>
              <w:ind w:right="113"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a.投标人应接受招标文件规定的风险划分原则，未提出新的风险划分办法；</w:t>
            </w:r>
          </w:p>
          <w:p w14:paraId="42CA95A7">
            <w:pPr>
              <w:pageBreakBefore w:val="0"/>
              <w:kinsoku/>
              <w:wordWrap/>
              <w:overflowPunct/>
              <w:topLinePunct w:val="0"/>
              <w:bidi w:val="0"/>
              <w:spacing w:line="360" w:lineRule="exact"/>
              <w:ind w:left="113" w:right="113"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b.投标人未增加委托人的责任范围，或减少投标人义务；</w:t>
            </w:r>
          </w:p>
          <w:p w14:paraId="70DBEE2C">
            <w:pPr>
              <w:pageBreakBefore w:val="0"/>
              <w:kinsoku/>
              <w:wordWrap/>
              <w:overflowPunct/>
              <w:topLinePunct w:val="0"/>
              <w:bidi w:val="0"/>
              <w:spacing w:line="360" w:lineRule="exact"/>
              <w:ind w:left="113" w:right="113"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c.投标人未提出不同的支付办法；</w:t>
            </w:r>
          </w:p>
          <w:p w14:paraId="404D0B44">
            <w:pPr>
              <w:pageBreakBefore w:val="0"/>
              <w:kinsoku/>
              <w:wordWrap/>
              <w:overflowPunct/>
              <w:topLinePunct w:val="0"/>
              <w:bidi w:val="0"/>
              <w:spacing w:line="360" w:lineRule="exact"/>
              <w:ind w:left="113" w:right="113"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d.投标人对合同纠纷、事故处理办法未提出异议；</w:t>
            </w:r>
          </w:p>
          <w:p w14:paraId="66B5FE27">
            <w:pPr>
              <w:pageBreakBefore w:val="0"/>
              <w:kinsoku/>
              <w:wordWrap/>
              <w:overflowPunct/>
              <w:topLinePunct w:val="0"/>
              <w:bidi w:val="0"/>
              <w:spacing w:line="360" w:lineRule="exact"/>
              <w:ind w:left="113" w:right="113"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e.投标人在投标活动中无欺诈行为；</w:t>
            </w:r>
          </w:p>
          <w:p w14:paraId="7CFA6CC2">
            <w:pPr>
              <w:pageBreakBefore w:val="0"/>
              <w:kinsoku/>
              <w:wordWrap/>
              <w:overflowPunct/>
              <w:topLinePunct w:val="0"/>
              <w:bidi w:val="0"/>
              <w:spacing w:line="360" w:lineRule="exact"/>
              <w:ind w:left="113" w:right="113"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f.投标人未对合同条款有重要保留。</w:t>
            </w:r>
          </w:p>
        </w:tc>
      </w:tr>
      <w:tr w14:paraId="7D99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14:paraId="4F7EAF0F">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527" w:type="dxa"/>
            <w:vAlign w:val="center"/>
          </w:tcPr>
          <w:p w14:paraId="4A0EB74D">
            <w:pPr>
              <w:pageBreakBefore w:val="0"/>
              <w:kinsoku/>
              <w:wordWrap/>
              <w:overflowPunct/>
              <w:topLinePunct w:val="0"/>
              <w:bidi w:val="0"/>
              <w:spacing w:line="360" w:lineRule="exact"/>
              <w:jc w:val="center"/>
              <w:textAlignment w:val="auto"/>
              <w:rPr>
                <w:rFonts w:hint="eastAsia" w:ascii="宋体" w:hAnsi="宋体" w:eastAsia="宋体" w:cs="宋体"/>
                <w:sz w:val="21"/>
                <w:szCs w:val="21"/>
                <w:lang w:bidi="zh-TW"/>
              </w:rPr>
            </w:pPr>
            <w:r>
              <w:rPr>
                <w:rFonts w:hint="eastAsia" w:ascii="宋体" w:hAnsi="宋体" w:eastAsia="宋体" w:cs="宋体"/>
                <w:sz w:val="21"/>
                <w:szCs w:val="21"/>
                <w:lang w:bidi="zh-TW"/>
              </w:rPr>
              <w:t>第二信封</w:t>
            </w:r>
          </w:p>
          <w:p w14:paraId="319AF18C">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bidi="zh-TW"/>
              </w:rPr>
              <w:t>形式评审与响应性评审标准</w:t>
            </w:r>
          </w:p>
        </w:tc>
        <w:tc>
          <w:tcPr>
            <w:tcW w:w="7076" w:type="dxa"/>
          </w:tcPr>
          <w:p w14:paraId="735B7303">
            <w:pPr>
              <w:pageBreakBefore w:val="0"/>
              <w:kinsoku/>
              <w:wordWrap/>
              <w:overflowPunct/>
              <w:topLinePunct w:val="0"/>
              <w:bidi w:val="0"/>
              <w:spacing w:line="360" w:lineRule="exact"/>
              <w:ind w:right="113"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（1）投标文件按照招标文件规定的格式、内容填写，字迹清晰可辨，内容齐全完整：</w:t>
            </w:r>
          </w:p>
          <w:p w14:paraId="165825FD">
            <w:pPr>
              <w:pageBreakBefore w:val="0"/>
              <w:kinsoku/>
              <w:wordWrap/>
              <w:overflowPunct/>
              <w:topLinePunct w:val="0"/>
              <w:bidi w:val="0"/>
              <w:spacing w:line="360" w:lineRule="exact"/>
              <w:ind w:right="113"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a.投标函按招标文件规定填报了项目名称、标段号、补遗书编号（如有）、投标价（包括大写金额和小写金额）；</w:t>
            </w:r>
          </w:p>
          <w:p w14:paraId="4EB623F7">
            <w:pPr>
              <w:pageBreakBefore w:val="0"/>
              <w:kinsoku/>
              <w:wordWrap/>
              <w:overflowPunct/>
              <w:topLinePunct w:val="0"/>
              <w:bidi w:val="0"/>
              <w:spacing w:line="360" w:lineRule="exact"/>
              <w:ind w:right="113"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b.已标价报价清单说明文字与招标文件规定一致，未进行实质性修改和删减；</w:t>
            </w:r>
          </w:p>
          <w:p w14:paraId="3C8E9864">
            <w:pPr>
              <w:pageBreakBefore w:val="0"/>
              <w:kinsoku/>
              <w:wordWrap/>
              <w:overflowPunct/>
              <w:topLinePunct w:val="0"/>
              <w:bidi w:val="0"/>
              <w:spacing w:line="360" w:lineRule="exact"/>
              <w:ind w:right="113"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c.投标文件组成齐全完整，内容均按规定填写。</w:t>
            </w:r>
          </w:p>
          <w:p w14:paraId="4579101E">
            <w:pPr>
              <w:pageBreakBefore w:val="0"/>
              <w:kinsoku/>
              <w:wordWrap/>
              <w:overflowPunct/>
              <w:topLinePunct w:val="0"/>
              <w:bidi w:val="0"/>
              <w:spacing w:line="360" w:lineRule="exact"/>
              <w:ind w:right="113"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（2）投标文件上法定代表人或其委托代理人的签字、投标人的单位章盖章齐全，符合招标文件规定。</w:t>
            </w:r>
          </w:p>
          <w:p w14:paraId="506C15EE">
            <w:pPr>
              <w:pageBreakBefore w:val="0"/>
              <w:kinsoku/>
              <w:wordWrap/>
              <w:overflowPunct/>
              <w:topLinePunct w:val="0"/>
              <w:bidi w:val="0"/>
              <w:spacing w:line="360" w:lineRule="exact"/>
              <w:ind w:right="113"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（3）投标报价未超过招标文件设定的最高投标限价。</w:t>
            </w:r>
          </w:p>
          <w:p w14:paraId="5D922CCB">
            <w:pPr>
              <w:pageBreakBefore w:val="0"/>
              <w:kinsoku/>
              <w:wordWrap/>
              <w:overflowPunct/>
              <w:topLinePunct w:val="0"/>
              <w:bidi w:val="0"/>
              <w:spacing w:line="360" w:lineRule="exact"/>
              <w:ind w:right="113"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（4）投标报价的大写金额能够确定具体数值。</w:t>
            </w:r>
          </w:p>
          <w:p w14:paraId="4CE4B8FB">
            <w:pPr>
              <w:pageBreakBefore w:val="0"/>
              <w:tabs>
                <w:tab w:val="left" w:pos="756"/>
                <w:tab w:val="left" w:pos="1131"/>
              </w:tabs>
              <w:kinsoku/>
              <w:wordWrap/>
              <w:overflowPunct/>
              <w:topLinePunct w:val="0"/>
              <w:bidi w:val="0"/>
              <w:spacing w:line="360" w:lineRule="exact"/>
              <w:ind w:firstLine="420" w:firstLineChars="200"/>
              <w:textAlignment w:val="auto"/>
              <w:rPr>
                <w:rFonts w:hint="eastAsia" w:ascii="宋体" w:hAnsi="宋体" w:eastAsia="宋体" w:cs="宋体"/>
                <w:sz w:val="21"/>
                <w:szCs w:val="21"/>
                <w:lang w:bidi="zh-TW"/>
              </w:rPr>
            </w:pPr>
            <w:r>
              <w:rPr>
                <w:rFonts w:hint="eastAsia" w:ascii="宋体" w:hAnsi="宋体" w:eastAsia="宋体" w:cs="宋体"/>
                <w:sz w:val="21"/>
                <w:szCs w:val="21"/>
              </w:rPr>
              <w:t>（5）同一投标人未提交两个以上不同的投标报价，但招标文件要求提交备选投标的除外。</w:t>
            </w:r>
          </w:p>
        </w:tc>
      </w:tr>
      <w:tr w14:paraId="791E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F1A3819">
            <w:pPr>
              <w:pageBreakBefore w:val="0"/>
              <w:kinsoku/>
              <w:wordWrap/>
              <w:overflowPunct/>
              <w:topLinePunct w:val="0"/>
              <w:bidi w:val="0"/>
              <w:spacing w:line="360" w:lineRule="exact"/>
              <w:textAlignment w:val="auto"/>
              <w:rPr>
                <w:rFonts w:hint="eastAsia" w:ascii="宋体" w:hAnsi="宋体" w:eastAsia="宋体" w:cs="宋体"/>
                <w:sz w:val="21"/>
                <w:szCs w:val="21"/>
              </w:rPr>
            </w:pPr>
            <w:r>
              <w:rPr>
                <w:rStyle w:val="30"/>
                <w:rFonts w:hint="eastAsia" w:ascii="宋体" w:hAnsi="宋体" w:eastAsia="宋体" w:cs="宋体"/>
                <w:sz w:val="21"/>
                <w:szCs w:val="21"/>
              </w:rPr>
              <w:t>2.1.2</w:t>
            </w:r>
          </w:p>
        </w:tc>
        <w:tc>
          <w:tcPr>
            <w:tcW w:w="1527" w:type="dxa"/>
            <w:vAlign w:val="center"/>
          </w:tcPr>
          <w:p w14:paraId="2BE700CF">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资格</w:t>
            </w:r>
          </w:p>
          <w:p w14:paraId="5816C410">
            <w:pPr>
              <w:pageBreakBefore w:val="0"/>
              <w:kinsoku/>
              <w:wordWrap/>
              <w:overflowPunct/>
              <w:topLinePunct w:val="0"/>
              <w:bidi w:val="0"/>
              <w:spacing w:line="360" w:lineRule="exact"/>
              <w:jc w:val="center"/>
              <w:textAlignment w:val="auto"/>
              <w:rPr>
                <w:rFonts w:hint="eastAsia" w:ascii="宋体" w:hAnsi="宋体" w:eastAsia="宋体" w:cs="宋体"/>
                <w:sz w:val="21"/>
                <w:szCs w:val="21"/>
                <w:lang w:bidi="en-US"/>
              </w:rPr>
            </w:pPr>
            <w:r>
              <w:rPr>
                <w:rFonts w:hint="eastAsia" w:ascii="宋体" w:hAnsi="宋体" w:eastAsia="宋体" w:cs="宋体"/>
                <w:sz w:val="21"/>
                <w:szCs w:val="21"/>
              </w:rPr>
              <w:t>评审标准</w:t>
            </w:r>
          </w:p>
        </w:tc>
        <w:tc>
          <w:tcPr>
            <w:tcW w:w="7076" w:type="dxa"/>
          </w:tcPr>
          <w:p w14:paraId="5AC78D81">
            <w:pPr>
              <w:pageBreakBefore w:val="0"/>
              <w:kinsoku/>
              <w:wordWrap/>
              <w:overflowPunct/>
              <w:topLinePunct w:val="0"/>
              <w:bidi w:val="0"/>
              <w:spacing w:line="360" w:lineRule="exact"/>
              <w:ind w:left="113" w:right="113"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（1）投标人具备有效的营业执照、组织机构代码证、资质证书和基本账户开户证明材料。</w:t>
            </w:r>
          </w:p>
          <w:p w14:paraId="348C7364">
            <w:pPr>
              <w:pageBreakBefore w:val="0"/>
              <w:kinsoku/>
              <w:wordWrap/>
              <w:overflowPunct/>
              <w:topLinePunct w:val="0"/>
              <w:bidi w:val="0"/>
              <w:spacing w:line="360" w:lineRule="exact"/>
              <w:ind w:left="113" w:right="113"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（2）投标人的资质等级符合招标文件规定。</w:t>
            </w:r>
          </w:p>
          <w:p w14:paraId="0B33A1E4">
            <w:pPr>
              <w:pageBreakBefore w:val="0"/>
              <w:kinsoku/>
              <w:wordWrap/>
              <w:overflowPunct/>
              <w:topLinePunct w:val="0"/>
              <w:bidi w:val="0"/>
              <w:spacing w:line="360" w:lineRule="exact"/>
              <w:ind w:left="113" w:right="113"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（3）投标人的类似项目业绩符合招标文件规定。</w:t>
            </w:r>
          </w:p>
          <w:p w14:paraId="56D66425">
            <w:pPr>
              <w:pageBreakBefore w:val="0"/>
              <w:kinsoku/>
              <w:wordWrap/>
              <w:overflowPunct/>
              <w:topLinePunct w:val="0"/>
              <w:bidi w:val="0"/>
              <w:spacing w:line="360" w:lineRule="exact"/>
              <w:ind w:left="113" w:right="113"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（4）投标人的信誉符合招标文件规定。</w:t>
            </w:r>
          </w:p>
          <w:p w14:paraId="79CCC1BE">
            <w:pPr>
              <w:pageBreakBefore w:val="0"/>
              <w:kinsoku/>
              <w:wordWrap/>
              <w:overflowPunct/>
              <w:topLinePunct w:val="0"/>
              <w:bidi w:val="0"/>
              <w:spacing w:line="360" w:lineRule="exact"/>
              <w:ind w:left="113" w:right="113"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（5）投标人的总监理工程师资格、在岗情况符合招标文件规定。</w:t>
            </w:r>
          </w:p>
          <w:p w14:paraId="3F31A237">
            <w:pPr>
              <w:pageBreakBefore w:val="0"/>
              <w:kinsoku/>
              <w:wordWrap/>
              <w:overflowPunct/>
              <w:topLinePunct w:val="0"/>
              <w:bidi w:val="0"/>
              <w:spacing w:line="360" w:lineRule="exact"/>
              <w:ind w:left="113" w:right="113"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（6）投标人的其他要求符合招标文件规定。</w:t>
            </w:r>
          </w:p>
          <w:p w14:paraId="6E28EC1F">
            <w:pPr>
              <w:pageBreakBefore w:val="0"/>
              <w:kinsoku/>
              <w:wordWrap/>
              <w:overflowPunct/>
              <w:topLinePunct w:val="0"/>
              <w:bidi w:val="0"/>
              <w:spacing w:line="360" w:lineRule="exact"/>
              <w:ind w:left="113" w:right="113"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（7）投标人不存在第二章“投标人须知”第1.4.3项或第1.4.4项规定的任何一种情形。</w:t>
            </w:r>
          </w:p>
          <w:p w14:paraId="32F760CA">
            <w:pPr>
              <w:pageBreakBefore w:val="0"/>
              <w:kinsoku/>
              <w:wordWrap/>
              <w:overflowPunct/>
              <w:topLinePunct w:val="0"/>
              <w:bidi w:val="0"/>
              <w:spacing w:line="360" w:lineRule="exact"/>
              <w:ind w:left="113" w:right="113"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（8）投标人符合第二章“投标人须知”第1.4.5项规定。</w:t>
            </w:r>
            <w:r>
              <w:rPr>
                <w:rFonts w:hint="eastAsia" w:ascii="宋体" w:hAnsi="宋体" w:eastAsia="宋体" w:cs="宋体"/>
                <w:sz w:val="21"/>
                <w:szCs w:val="21"/>
                <w:vertAlign w:val="superscript"/>
              </w:rPr>
              <w:footnoteReference w:id="3"/>
            </w:r>
          </w:p>
          <w:p w14:paraId="472F3559">
            <w:pPr>
              <w:pageBreakBefore w:val="0"/>
              <w:kinsoku/>
              <w:wordWrap/>
              <w:overflowPunct/>
              <w:topLinePunct w:val="0"/>
              <w:bidi w:val="0"/>
              <w:spacing w:line="360" w:lineRule="exact"/>
              <w:ind w:left="113" w:right="113"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（9）以联合体形式参与投标的，联合体各方均未再以自己名义单独或参加其他联合体在同一标段中投标。</w:t>
            </w:r>
          </w:p>
        </w:tc>
      </w:tr>
      <w:tr w14:paraId="3FD0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E64681E">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Style w:val="31"/>
                <w:rFonts w:hint="eastAsia" w:ascii="宋体" w:hAnsi="宋体" w:eastAsia="宋体" w:cs="宋体"/>
                <w:sz w:val="21"/>
                <w:szCs w:val="21"/>
              </w:rPr>
              <w:t>2</w:t>
            </w:r>
            <w:r>
              <w:rPr>
                <w:rStyle w:val="32"/>
                <w:rFonts w:hint="eastAsia" w:ascii="宋体" w:hAnsi="宋体" w:eastAsia="宋体" w:cs="宋体"/>
                <w:sz w:val="21"/>
                <w:szCs w:val="21"/>
              </w:rPr>
              <w:t>.</w:t>
            </w:r>
            <w:r>
              <w:rPr>
                <w:rStyle w:val="31"/>
                <w:rFonts w:hint="eastAsia" w:ascii="宋体" w:hAnsi="宋体" w:eastAsia="宋体" w:cs="宋体"/>
                <w:sz w:val="21"/>
                <w:szCs w:val="21"/>
              </w:rPr>
              <w:t>2.1</w:t>
            </w:r>
          </w:p>
        </w:tc>
        <w:tc>
          <w:tcPr>
            <w:tcW w:w="1527" w:type="dxa"/>
            <w:vAlign w:val="center"/>
          </w:tcPr>
          <w:p w14:paraId="0CFB0D42">
            <w:pPr>
              <w:pageBreakBefore w:val="0"/>
              <w:kinsoku/>
              <w:wordWrap/>
              <w:overflowPunct/>
              <w:topLinePunct w:val="0"/>
              <w:bidi w:val="0"/>
              <w:spacing w:line="360" w:lineRule="exact"/>
              <w:jc w:val="center"/>
              <w:textAlignment w:val="auto"/>
              <w:rPr>
                <w:rFonts w:hint="eastAsia" w:ascii="宋体" w:hAnsi="宋体" w:eastAsia="宋体" w:cs="宋体"/>
                <w:sz w:val="21"/>
                <w:szCs w:val="21"/>
                <w:lang w:bidi="en-US"/>
              </w:rPr>
            </w:pPr>
            <w:r>
              <w:rPr>
                <w:rFonts w:hint="eastAsia" w:ascii="宋体" w:hAnsi="宋体" w:eastAsia="宋体" w:cs="宋体"/>
                <w:sz w:val="21"/>
                <w:szCs w:val="21"/>
                <w:lang w:bidi="en-US"/>
              </w:rPr>
              <w:t>分值构成</w:t>
            </w:r>
          </w:p>
          <w:p w14:paraId="163865F6">
            <w:pPr>
              <w:pageBreakBefore w:val="0"/>
              <w:kinsoku/>
              <w:wordWrap/>
              <w:overflowPunct/>
              <w:topLinePunct w:val="0"/>
              <w:bidi w:val="0"/>
              <w:spacing w:line="360" w:lineRule="exact"/>
              <w:jc w:val="center"/>
              <w:textAlignment w:val="auto"/>
              <w:rPr>
                <w:rFonts w:hint="eastAsia" w:ascii="宋体" w:hAnsi="宋体" w:eastAsia="宋体" w:cs="宋体"/>
                <w:sz w:val="21"/>
                <w:szCs w:val="21"/>
                <w:lang w:bidi="zh-TW"/>
              </w:rPr>
            </w:pPr>
            <w:r>
              <w:rPr>
                <w:rFonts w:hint="eastAsia" w:ascii="宋体" w:hAnsi="宋体" w:eastAsia="宋体" w:cs="宋体"/>
                <w:sz w:val="21"/>
                <w:szCs w:val="21"/>
                <w:lang w:bidi="en-US"/>
              </w:rPr>
              <w:t>(总100分）</w:t>
            </w:r>
          </w:p>
        </w:tc>
        <w:tc>
          <w:tcPr>
            <w:tcW w:w="7076" w:type="dxa"/>
          </w:tcPr>
          <w:p w14:paraId="0CAC3EB3">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lang w:bidi="zh-TW"/>
              </w:rPr>
            </w:pPr>
            <w:r>
              <w:rPr>
                <w:rFonts w:hint="eastAsia" w:ascii="宋体" w:hAnsi="宋体" w:eastAsia="宋体" w:cs="宋体"/>
                <w:sz w:val="21"/>
                <w:szCs w:val="21"/>
                <w:lang w:bidi="en-US"/>
              </w:rPr>
              <w:t>第一个信封（商务及技术文件）评分分值构成：</w:t>
            </w:r>
          </w:p>
          <w:p w14:paraId="46EE1292">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lang w:bidi="en-US"/>
              </w:rPr>
            </w:pPr>
            <w:r>
              <w:rPr>
                <w:rFonts w:hint="eastAsia" w:ascii="宋体" w:hAnsi="宋体" w:eastAsia="宋体" w:cs="宋体"/>
                <w:sz w:val="21"/>
                <w:szCs w:val="21"/>
                <w:lang w:bidi="en-US"/>
              </w:rPr>
              <w:t>技术建议书：</w:t>
            </w:r>
            <w:r>
              <w:rPr>
                <w:rFonts w:hint="eastAsia" w:ascii="宋体" w:hAnsi="宋体" w:eastAsia="宋体" w:cs="宋体"/>
                <w:sz w:val="21"/>
                <w:szCs w:val="21"/>
                <w:u w:val="single"/>
                <w:lang w:bidi="en-US"/>
              </w:rPr>
              <w:t xml:space="preserve"> 35 </w:t>
            </w:r>
            <w:r>
              <w:rPr>
                <w:rFonts w:hint="eastAsia" w:ascii="宋体" w:hAnsi="宋体" w:eastAsia="宋体" w:cs="宋体"/>
                <w:sz w:val="21"/>
                <w:szCs w:val="21"/>
                <w:lang w:bidi="en-US"/>
              </w:rPr>
              <w:t xml:space="preserve">分 </w:t>
            </w:r>
          </w:p>
          <w:p w14:paraId="364B5810">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lang w:bidi="en-US"/>
              </w:rPr>
            </w:pPr>
            <w:r>
              <w:rPr>
                <w:rFonts w:hint="eastAsia" w:ascii="宋体" w:hAnsi="宋体" w:eastAsia="宋体" w:cs="宋体"/>
                <w:sz w:val="21"/>
                <w:szCs w:val="21"/>
                <w:lang w:bidi="en-US"/>
              </w:rPr>
              <w:t>主要人员：</w:t>
            </w:r>
            <w:r>
              <w:rPr>
                <w:rFonts w:hint="eastAsia" w:ascii="宋体" w:hAnsi="宋体" w:eastAsia="宋体" w:cs="宋体"/>
                <w:sz w:val="21"/>
                <w:szCs w:val="21"/>
                <w:u w:val="single"/>
                <w:lang w:bidi="en-US"/>
              </w:rPr>
              <w:t xml:space="preserve"> 25 </w:t>
            </w:r>
            <w:r>
              <w:rPr>
                <w:rFonts w:hint="eastAsia" w:ascii="宋体" w:hAnsi="宋体" w:eastAsia="宋体" w:cs="宋体"/>
                <w:sz w:val="21"/>
                <w:szCs w:val="21"/>
                <w:lang w:bidi="en-US"/>
              </w:rPr>
              <w:t xml:space="preserve">分 </w:t>
            </w:r>
          </w:p>
          <w:p w14:paraId="037E1C4F">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lang w:bidi="en-US"/>
              </w:rPr>
            </w:pPr>
            <w:r>
              <w:rPr>
                <w:rFonts w:hint="eastAsia" w:ascii="宋体" w:hAnsi="宋体" w:eastAsia="宋体" w:cs="宋体"/>
                <w:sz w:val="21"/>
                <w:szCs w:val="21"/>
                <w:lang w:bidi="en-US"/>
              </w:rPr>
              <w:t>业绩：</w:t>
            </w:r>
            <w:r>
              <w:rPr>
                <w:rFonts w:hint="eastAsia" w:ascii="宋体" w:hAnsi="宋体" w:eastAsia="宋体" w:cs="宋体"/>
                <w:sz w:val="21"/>
                <w:szCs w:val="21"/>
                <w:u w:val="single"/>
                <w:lang w:bidi="en-US"/>
              </w:rPr>
              <w:t xml:space="preserve"> 20 </w:t>
            </w:r>
            <w:r>
              <w:rPr>
                <w:rFonts w:hint="eastAsia" w:ascii="宋体" w:hAnsi="宋体" w:eastAsia="宋体" w:cs="宋体"/>
                <w:sz w:val="21"/>
                <w:szCs w:val="21"/>
                <w:lang w:bidi="en-US"/>
              </w:rPr>
              <w:t xml:space="preserve">分 </w:t>
            </w:r>
          </w:p>
          <w:p w14:paraId="1810A28C">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lang w:bidi="en-US"/>
              </w:rPr>
            </w:pPr>
            <w:r>
              <w:rPr>
                <w:rFonts w:hint="eastAsia" w:ascii="宋体" w:hAnsi="宋体" w:eastAsia="宋体" w:cs="宋体"/>
                <w:sz w:val="21"/>
                <w:szCs w:val="21"/>
                <w:lang w:bidi="en-US"/>
              </w:rPr>
              <w:t>履约信誉：</w:t>
            </w:r>
            <w:r>
              <w:rPr>
                <w:rFonts w:hint="eastAsia" w:ascii="宋体" w:hAnsi="宋体" w:eastAsia="宋体" w:cs="宋体"/>
                <w:sz w:val="21"/>
                <w:szCs w:val="21"/>
                <w:u w:val="single"/>
                <w:lang w:bidi="en-US"/>
              </w:rPr>
              <w:t xml:space="preserve"> 10 </w:t>
            </w:r>
            <w:r>
              <w:rPr>
                <w:rFonts w:hint="eastAsia" w:ascii="宋体" w:hAnsi="宋体" w:eastAsia="宋体" w:cs="宋体"/>
                <w:sz w:val="21"/>
                <w:szCs w:val="21"/>
                <w:lang w:bidi="en-US"/>
              </w:rPr>
              <w:t>分</w:t>
            </w:r>
          </w:p>
          <w:p w14:paraId="51388FE7">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lang w:bidi="en-US"/>
              </w:rPr>
            </w:pPr>
            <w:r>
              <w:rPr>
                <w:rFonts w:hint="eastAsia" w:ascii="宋体" w:hAnsi="宋体" w:eastAsia="宋体" w:cs="宋体"/>
                <w:sz w:val="21"/>
                <w:szCs w:val="21"/>
                <w:lang w:bidi="en-US"/>
              </w:rPr>
              <w:t>第二个信封（报价文件）评分分值构成：</w:t>
            </w:r>
          </w:p>
          <w:p w14:paraId="01F56FDB">
            <w:pPr>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en-US"/>
              </w:rPr>
              <w:t>评标价：</w:t>
            </w:r>
            <w:r>
              <w:rPr>
                <w:rFonts w:hint="eastAsia" w:ascii="宋体" w:hAnsi="宋体" w:eastAsia="宋体" w:cs="宋体"/>
                <w:sz w:val="21"/>
                <w:szCs w:val="21"/>
                <w:u w:val="single"/>
                <w:lang w:bidi="en-US"/>
              </w:rPr>
              <w:t xml:space="preserve"> 10 </w:t>
            </w:r>
            <w:r>
              <w:rPr>
                <w:rFonts w:hint="eastAsia" w:ascii="宋体" w:hAnsi="宋体" w:eastAsia="宋体" w:cs="宋体"/>
                <w:sz w:val="21"/>
                <w:szCs w:val="21"/>
                <w:lang w:bidi="en-US"/>
              </w:rPr>
              <w:t>分</w:t>
            </w:r>
          </w:p>
        </w:tc>
      </w:tr>
      <w:tr w14:paraId="6D81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AC8B9C3">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Style w:val="31"/>
                <w:rFonts w:hint="eastAsia" w:ascii="宋体" w:hAnsi="宋体" w:eastAsia="宋体" w:cs="宋体"/>
                <w:sz w:val="21"/>
                <w:szCs w:val="21"/>
              </w:rPr>
              <w:t>2</w:t>
            </w:r>
            <w:r>
              <w:rPr>
                <w:rStyle w:val="32"/>
                <w:rFonts w:hint="eastAsia" w:ascii="宋体" w:hAnsi="宋体" w:eastAsia="宋体" w:cs="宋体"/>
                <w:sz w:val="21"/>
                <w:szCs w:val="21"/>
              </w:rPr>
              <w:t>.</w:t>
            </w:r>
            <w:r>
              <w:rPr>
                <w:rStyle w:val="31"/>
                <w:rFonts w:hint="eastAsia" w:ascii="宋体" w:hAnsi="宋体" w:eastAsia="宋体" w:cs="宋体"/>
                <w:sz w:val="21"/>
                <w:szCs w:val="21"/>
              </w:rPr>
              <w:t>2.2</w:t>
            </w:r>
          </w:p>
        </w:tc>
        <w:tc>
          <w:tcPr>
            <w:tcW w:w="1527" w:type="dxa"/>
            <w:vAlign w:val="center"/>
          </w:tcPr>
          <w:p w14:paraId="118B462F">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评标基准价计算方法</w:t>
            </w:r>
          </w:p>
        </w:tc>
        <w:tc>
          <w:tcPr>
            <w:tcW w:w="7076" w:type="dxa"/>
          </w:tcPr>
          <w:p w14:paraId="27103279">
            <w:pPr>
              <w:pageBreakBefore w:val="0"/>
              <w:kinsoku/>
              <w:wordWrap/>
              <w:overflowPunct/>
              <w:topLinePunct w:val="0"/>
              <w:bidi w:val="0"/>
              <w:spacing w:line="360" w:lineRule="exact"/>
              <w:ind w:left="113" w:leftChars="54" w:right="113"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评标基准价的计算：</w:t>
            </w:r>
          </w:p>
          <w:p w14:paraId="336D04AE">
            <w:pPr>
              <w:pageBreakBefore w:val="0"/>
              <w:kinsoku/>
              <w:wordWrap/>
              <w:overflowPunct/>
              <w:topLinePunct w:val="0"/>
              <w:bidi w:val="0"/>
              <w:spacing w:line="360" w:lineRule="exact"/>
              <w:ind w:left="113" w:leftChars="54" w:right="113"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在开标现场，招标人将当场计算并宣布评标基准价。</w:t>
            </w:r>
          </w:p>
          <w:p w14:paraId="78594DF1">
            <w:pPr>
              <w:pageBreakBefore w:val="0"/>
              <w:kinsoku/>
              <w:wordWrap/>
              <w:overflowPunct/>
              <w:topLinePunct w:val="0"/>
              <w:bidi w:val="0"/>
              <w:spacing w:line="360" w:lineRule="exact"/>
              <w:ind w:left="113" w:leftChars="54" w:right="113"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（1）评标价的确定：</w:t>
            </w:r>
          </w:p>
          <w:p w14:paraId="15100260">
            <w:pPr>
              <w:pageBreakBefore w:val="0"/>
              <w:kinsoku/>
              <w:wordWrap/>
              <w:overflowPunct/>
              <w:topLinePunct w:val="0"/>
              <w:bidi w:val="0"/>
              <w:spacing w:line="360" w:lineRule="exact"/>
              <w:ind w:left="113" w:leftChars="54" w:right="113"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评标价=投标函文字报价</w:t>
            </w:r>
          </w:p>
          <w:p w14:paraId="2237DF0A">
            <w:pPr>
              <w:pageBreakBefore w:val="0"/>
              <w:kinsoku/>
              <w:wordWrap/>
              <w:overflowPunct/>
              <w:topLinePunct w:val="0"/>
              <w:bidi w:val="0"/>
              <w:spacing w:line="360" w:lineRule="exact"/>
              <w:ind w:left="113" w:leftChars="54" w:right="113"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（2）评标价平均值的计算：</w:t>
            </w:r>
          </w:p>
          <w:p w14:paraId="54744505">
            <w:pPr>
              <w:pageBreakBefore w:val="0"/>
              <w:kinsoku/>
              <w:wordWrap/>
              <w:overflowPunct/>
              <w:topLinePunct w:val="0"/>
              <w:bidi w:val="0"/>
              <w:spacing w:line="360" w:lineRule="exact"/>
              <w:ind w:left="113" w:leftChars="54" w:right="113"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除按第二章“投标人须知”第5.2.4项规定开标现场被宣布为不参与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评标价平均值的计算保留整数，小数点后第1位“四舍五入”。</w:t>
            </w:r>
          </w:p>
          <w:p w14:paraId="0B88A81D">
            <w:pPr>
              <w:pageBreakBefore w:val="0"/>
              <w:kinsoku/>
              <w:wordWrap/>
              <w:overflowPunct/>
              <w:topLinePunct w:val="0"/>
              <w:bidi w:val="0"/>
              <w:spacing w:line="360" w:lineRule="exact"/>
              <w:ind w:left="113" w:leftChars="54" w:right="113"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（3）评标基准价的确定：</w:t>
            </w:r>
          </w:p>
          <w:p w14:paraId="14A6051A">
            <w:pPr>
              <w:pageBreakBefore w:val="0"/>
              <w:kinsoku/>
              <w:wordWrap/>
              <w:overflowPunct/>
              <w:topLinePunct w:val="0"/>
              <w:bidi w:val="0"/>
              <w:spacing w:line="360" w:lineRule="exact"/>
              <w:ind w:left="113" w:leftChars="54" w:right="113"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将评标价平均值直接作为评标基准价。</w:t>
            </w:r>
          </w:p>
          <w:p w14:paraId="401E827F">
            <w:pPr>
              <w:pageBreakBefore w:val="0"/>
              <w:kinsoku/>
              <w:wordWrap/>
              <w:overflowPunct/>
              <w:topLinePunct w:val="0"/>
              <w:bidi w:val="0"/>
              <w:spacing w:line="360" w:lineRule="exact"/>
              <w:ind w:firstLine="455" w:firstLineChars="217"/>
              <w:textAlignment w:val="auto"/>
              <w:rPr>
                <w:rFonts w:hint="eastAsia" w:ascii="宋体" w:hAnsi="宋体" w:eastAsia="宋体" w:cs="宋体"/>
                <w:sz w:val="21"/>
                <w:szCs w:val="21"/>
              </w:rPr>
            </w:pPr>
            <w:r>
              <w:rPr>
                <w:rFonts w:hint="eastAsia" w:ascii="宋体" w:hAnsi="宋体" w:eastAsia="宋体" w:cs="宋体"/>
                <w:sz w:val="21"/>
                <w:szCs w:val="21"/>
              </w:rPr>
              <w:t>在评标过程中，评标委员会应对计算的评标基准价进行复核，存在计算错误的应予以修正并在评标报告中作出说明。除此之外，评标基准价在整个评标期间保持不变，不随任何因素发生变化。</w:t>
            </w:r>
          </w:p>
        </w:tc>
      </w:tr>
      <w:tr w14:paraId="7259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F349F50">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Style w:val="31"/>
                <w:rFonts w:hint="eastAsia" w:ascii="宋体" w:hAnsi="宋体" w:eastAsia="宋体" w:cs="宋体"/>
                <w:sz w:val="21"/>
                <w:szCs w:val="21"/>
                <w:lang w:eastAsia="zh-CN" w:bidi="ar-SA"/>
              </w:rPr>
              <w:t>2.2.3</w:t>
            </w:r>
          </w:p>
        </w:tc>
        <w:tc>
          <w:tcPr>
            <w:tcW w:w="1527" w:type="dxa"/>
            <w:vAlign w:val="center"/>
          </w:tcPr>
          <w:p w14:paraId="70D06FCA">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评标价的偏差率计算公式</w:t>
            </w:r>
          </w:p>
        </w:tc>
        <w:tc>
          <w:tcPr>
            <w:tcW w:w="7076" w:type="dxa"/>
          </w:tcPr>
          <w:p w14:paraId="075D8D46">
            <w:pPr>
              <w:pageBreakBefore w:val="0"/>
              <w:kinsoku/>
              <w:wordWrap/>
              <w:overflowPunct/>
              <w:topLinePunct w:val="0"/>
              <w:bidi w:val="0"/>
              <w:spacing w:line="360" w:lineRule="exact"/>
              <w:ind w:left="50"/>
              <w:textAlignment w:val="auto"/>
              <w:rPr>
                <w:rFonts w:hint="eastAsia" w:ascii="宋体" w:hAnsi="宋体" w:eastAsia="宋体" w:cs="宋体"/>
                <w:sz w:val="21"/>
                <w:szCs w:val="21"/>
              </w:rPr>
            </w:pPr>
            <w:r>
              <w:rPr>
                <w:rFonts w:hint="eastAsia" w:ascii="宋体" w:hAnsi="宋体" w:eastAsia="宋体" w:cs="宋体"/>
                <w:sz w:val="21"/>
                <w:szCs w:val="21"/>
              </w:rPr>
              <w:t>偏差率=100%×(投标人评标价-评标基准价）/评标基准价</w:t>
            </w:r>
          </w:p>
          <w:p w14:paraId="2B0177B2">
            <w:pPr>
              <w:pageBreakBefore w:val="0"/>
              <w:kinsoku/>
              <w:wordWrap/>
              <w:overflowPunct/>
              <w:topLinePunct w:val="0"/>
              <w:bidi w:val="0"/>
              <w:spacing w:line="360" w:lineRule="exact"/>
              <w:ind w:left="50"/>
              <w:textAlignment w:val="auto"/>
              <w:rPr>
                <w:rFonts w:hint="eastAsia" w:ascii="宋体" w:hAnsi="宋体" w:eastAsia="宋体" w:cs="宋体"/>
                <w:sz w:val="21"/>
                <w:szCs w:val="21"/>
              </w:rPr>
            </w:pPr>
            <w:r>
              <w:rPr>
                <w:rFonts w:hint="eastAsia" w:ascii="宋体" w:hAnsi="宋体" w:eastAsia="宋体" w:cs="宋体"/>
                <w:sz w:val="21"/>
                <w:szCs w:val="21"/>
              </w:rPr>
              <w:t>偏差率保留2位小数，小数点后第3位“四舍五入”。</w:t>
            </w:r>
          </w:p>
        </w:tc>
      </w:tr>
    </w:tbl>
    <w:p w14:paraId="73D517E9">
      <w:pPr>
        <w:pageBreakBefore w:val="0"/>
        <w:kinsoku/>
        <w:wordWrap/>
        <w:overflowPunct/>
        <w:topLinePunct w:val="0"/>
        <w:bidi w:val="0"/>
        <w:spacing w:line="360" w:lineRule="exact"/>
        <w:jc w:val="right"/>
        <w:textAlignment w:val="auto"/>
        <w:rPr>
          <w:rFonts w:hint="eastAsia" w:ascii="宋体" w:hAnsi="宋体" w:eastAsia="宋体" w:cs="宋体"/>
          <w:sz w:val="21"/>
          <w:szCs w:val="21"/>
        </w:rPr>
      </w:pPr>
    </w:p>
    <w:p w14:paraId="51033284">
      <w:pPr>
        <w:pageBreakBefore w:val="0"/>
        <w:kinsoku/>
        <w:wordWrap/>
        <w:overflowPunct/>
        <w:topLinePunct w:val="0"/>
        <w:bidi w:val="0"/>
        <w:spacing w:line="36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续上表</w:t>
      </w:r>
    </w:p>
    <w:tbl>
      <w:tblPr>
        <w:tblStyle w:val="9"/>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549"/>
        <w:gridCol w:w="559"/>
        <w:gridCol w:w="1105"/>
        <w:gridCol w:w="1251"/>
        <w:gridCol w:w="915"/>
        <w:gridCol w:w="4202"/>
      </w:tblGrid>
      <w:tr w14:paraId="5307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357" w:type="dxa"/>
            <w:gridSpan w:val="6"/>
            <w:vAlign w:val="center"/>
          </w:tcPr>
          <w:p w14:paraId="02B5C8F3">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评分因素与权重分值</w:t>
            </w:r>
            <w:r>
              <w:rPr>
                <w:rStyle w:val="13"/>
                <w:rFonts w:hint="eastAsia" w:ascii="宋体" w:hAnsi="宋体" w:eastAsia="宋体" w:cs="宋体"/>
                <w:sz w:val="21"/>
                <w:szCs w:val="21"/>
              </w:rPr>
              <w:footnoteReference w:id="4"/>
            </w:r>
          </w:p>
        </w:tc>
        <w:tc>
          <w:tcPr>
            <w:tcW w:w="4202" w:type="dxa"/>
            <w:vMerge w:val="restart"/>
            <w:vAlign w:val="center"/>
          </w:tcPr>
          <w:p w14:paraId="12EAC156">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r>
      <w:tr w14:paraId="62AE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78" w:type="dxa"/>
            <w:vAlign w:val="center"/>
          </w:tcPr>
          <w:p w14:paraId="69EDFDDC">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条款号</w:t>
            </w:r>
          </w:p>
        </w:tc>
        <w:tc>
          <w:tcPr>
            <w:tcW w:w="1108" w:type="dxa"/>
            <w:gridSpan w:val="2"/>
            <w:vAlign w:val="center"/>
          </w:tcPr>
          <w:p w14:paraId="6A30DCB3">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1105" w:type="dxa"/>
            <w:vAlign w:val="center"/>
          </w:tcPr>
          <w:p w14:paraId="6F8FC1ED">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评分因素权重分值</w:t>
            </w:r>
          </w:p>
        </w:tc>
        <w:tc>
          <w:tcPr>
            <w:tcW w:w="1251" w:type="dxa"/>
            <w:vAlign w:val="center"/>
          </w:tcPr>
          <w:p w14:paraId="790F8772">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各评分因素细分项</w:t>
            </w:r>
          </w:p>
        </w:tc>
        <w:tc>
          <w:tcPr>
            <w:tcW w:w="915" w:type="dxa"/>
            <w:vAlign w:val="center"/>
          </w:tcPr>
          <w:p w14:paraId="63CC2569">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4202" w:type="dxa"/>
            <w:vMerge w:val="continue"/>
          </w:tcPr>
          <w:p w14:paraId="29C416DF">
            <w:pPr>
              <w:pageBreakBefore w:val="0"/>
              <w:kinsoku/>
              <w:wordWrap/>
              <w:overflowPunct/>
              <w:topLinePunct w:val="0"/>
              <w:bidi w:val="0"/>
              <w:spacing w:line="360" w:lineRule="exact"/>
              <w:textAlignment w:val="auto"/>
              <w:rPr>
                <w:rFonts w:hint="eastAsia" w:ascii="宋体" w:hAnsi="宋体" w:eastAsia="宋体" w:cs="宋体"/>
                <w:sz w:val="21"/>
                <w:szCs w:val="21"/>
              </w:rPr>
            </w:pPr>
          </w:p>
        </w:tc>
      </w:tr>
      <w:tr w14:paraId="36C2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restart"/>
            <w:vAlign w:val="center"/>
          </w:tcPr>
          <w:p w14:paraId="4E39C58E">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2.2.4（1）</w:t>
            </w:r>
          </w:p>
        </w:tc>
        <w:tc>
          <w:tcPr>
            <w:tcW w:w="1108" w:type="dxa"/>
            <w:gridSpan w:val="2"/>
            <w:vMerge w:val="restart"/>
            <w:vAlign w:val="center"/>
          </w:tcPr>
          <w:p w14:paraId="195CA983">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技术建议书</w:t>
            </w:r>
          </w:p>
        </w:tc>
        <w:tc>
          <w:tcPr>
            <w:tcW w:w="1105" w:type="dxa"/>
            <w:vMerge w:val="restart"/>
            <w:vAlign w:val="center"/>
          </w:tcPr>
          <w:p w14:paraId="12DFC0AA">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35 </w:t>
            </w:r>
            <w:r>
              <w:rPr>
                <w:rFonts w:hint="eastAsia" w:ascii="宋体" w:hAnsi="宋体" w:eastAsia="宋体" w:cs="宋体"/>
                <w:sz w:val="21"/>
                <w:szCs w:val="21"/>
              </w:rPr>
              <w:t>分</w:t>
            </w:r>
          </w:p>
        </w:tc>
        <w:tc>
          <w:tcPr>
            <w:tcW w:w="1251" w:type="dxa"/>
            <w:vMerge w:val="restart"/>
            <w:vAlign w:val="center"/>
          </w:tcPr>
          <w:p w14:paraId="2CEEE478">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bidi="en-US"/>
              </w:rPr>
              <w:t>监理方案和措施</w:t>
            </w:r>
          </w:p>
        </w:tc>
        <w:tc>
          <w:tcPr>
            <w:tcW w:w="915" w:type="dxa"/>
            <w:vMerge w:val="restart"/>
            <w:vAlign w:val="center"/>
          </w:tcPr>
          <w:p w14:paraId="63BF9799">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20 </w:t>
            </w:r>
            <w:r>
              <w:rPr>
                <w:rFonts w:hint="eastAsia" w:ascii="宋体" w:hAnsi="宋体" w:eastAsia="宋体" w:cs="宋体"/>
                <w:sz w:val="21"/>
                <w:szCs w:val="21"/>
              </w:rPr>
              <w:t>分</w:t>
            </w:r>
          </w:p>
        </w:tc>
        <w:tc>
          <w:tcPr>
            <w:tcW w:w="4202" w:type="dxa"/>
            <w:vAlign w:val="center"/>
          </w:tcPr>
          <w:p w14:paraId="4827B7C7">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一般得12～15分</w:t>
            </w:r>
          </w:p>
        </w:tc>
      </w:tr>
      <w:tr w14:paraId="5941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4ED4B282">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8" w:type="dxa"/>
            <w:gridSpan w:val="2"/>
            <w:vMerge w:val="continue"/>
            <w:vAlign w:val="center"/>
          </w:tcPr>
          <w:p w14:paraId="50D1117F">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5" w:type="dxa"/>
            <w:vMerge w:val="continue"/>
            <w:vAlign w:val="center"/>
          </w:tcPr>
          <w:p w14:paraId="7F992108">
            <w:pPr>
              <w:pageBreakBefore w:val="0"/>
              <w:kinsoku/>
              <w:wordWrap/>
              <w:overflowPunct/>
              <w:topLinePunct w:val="0"/>
              <w:bidi w:val="0"/>
              <w:spacing w:line="360" w:lineRule="exact"/>
              <w:jc w:val="center"/>
              <w:textAlignment w:val="auto"/>
              <w:rPr>
                <w:rFonts w:hint="eastAsia" w:ascii="宋体" w:hAnsi="宋体" w:eastAsia="宋体" w:cs="宋体"/>
                <w:sz w:val="21"/>
                <w:szCs w:val="21"/>
                <w:u w:val="single"/>
              </w:rPr>
            </w:pPr>
          </w:p>
        </w:tc>
        <w:tc>
          <w:tcPr>
            <w:tcW w:w="1251" w:type="dxa"/>
            <w:vMerge w:val="continue"/>
            <w:vAlign w:val="center"/>
          </w:tcPr>
          <w:p w14:paraId="30951F53">
            <w:pPr>
              <w:pageBreakBefore w:val="0"/>
              <w:kinsoku/>
              <w:wordWrap/>
              <w:overflowPunct/>
              <w:topLinePunct w:val="0"/>
              <w:bidi w:val="0"/>
              <w:spacing w:line="360" w:lineRule="exact"/>
              <w:textAlignment w:val="auto"/>
              <w:rPr>
                <w:rFonts w:hint="eastAsia" w:ascii="宋体" w:hAnsi="宋体" w:eastAsia="宋体" w:cs="宋体"/>
                <w:sz w:val="21"/>
                <w:szCs w:val="21"/>
                <w:lang w:bidi="en-US"/>
              </w:rPr>
            </w:pPr>
          </w:p>
        </w:tc>
        <w:tc>
          <w:tcPr>
            <w:tcW w:w="915" w:type="dxa"/>
            <w:vMerge w:val="continue"/>
            <w:vAlign w:val="center"/>
          </w:tcPr>
          <w:p w14:paraId="63DF90E3">
            <w:pPr>
              <w:pageBreakBefore w:val="0"/>
              <w:kinsoku/>
              <w:wordWrap/>
              <w:overflowPunct/>
              <w:topLinePunct w:val="0"/>
              <w:bidi w:val="0"/>
              <w:spacing w:line="360" w:lineRule="exact"/>
              <w:jc w:val="center"/>
              <w:textAlignment w:val="auto"/>
              <w:rPr>
                <w:rFonts w:hint="eastAsia" w:ascii="宋体" w:hAnsi="宋体" w:eastAsia="宋体" w:cs="宋体"/>
                <w:sz w:val="21"/>
                <w:szCs w:val="21"/>
                <w:u w:val="single"/>
              </w:rPr>
            </w:pPr>
          </w:p>
        </w:tc>
        <w:tc>
          <w:tcPr>
            <w:tcW w:w="4202" w:type="dxa"/>
            <w:vAlign w:val="center"/>
          </w:tcPr>
          <w:p w14:paraId="12C63739">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满意得15～20分</w:t>
            </w:r>
          </w:p>
        </w:tc>
      </w:tr>
      <w:tr w14:paraId="520C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388BB71B">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8" w:type="dxa"/>
            <w:gridSpan w:val="2"/>
            <w:vMerge w:val="continue"/>
            <w:vAlign w:val="center"/>
          </w:tcPr>
          <w:p w14:paraId="62FC5B40">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5" w:type="dxa"/>
            <w:vMerge w:val="continue"/>
            <w:vAlign w:val="center"/>
          </w:tcPr>
          <w:p w14:paraId="06459B4B">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251" w:type="dxa"/>
            <w:vMerge w:val="restart"/>
            <w:vAlign w:val="center"/>
          </w:tcPr>
          <w:p w14:paraId="37633515">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bidi="en-US"/>
              </w:rPr>
              <w:t>本工程监理工作的重点与难点分析</w:t>
            </w:r>
          </w:p>
        </w:tc>
        <w:tc>
          <w:tcPr>
            <w:tcW w:w="915" w:type="dxa"/>
            <w:vMerge w:val="restart"/>
            <w:vAlign w:val="center"/>
          </w:tcPr>
          <w:p w14:paraId="73F8403E">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10 </w:t>
            </w:r>
            <w:r>
              <w:rPr>
                <w:rFonts w:hint="eastAsia" w:ascii="宋体" w:hAnsi="宋体" w:eastAsia="宋体" w:cs="宋体"/>
                <w:sz w:val="21"/>
                <w:szCs w:val="21"/>
              </w:rPr>
              <w:t>分</w:t>
            </w:r>
          </w:p>
        </w:tc>
        <w:tc>
          <w:tcPr>
            <w:tcW w:w="4202" w:type="dxa"/>
            <w:vAlign w:val="center"/>
          </w:tcPr>
          <w:p w14:paraId="15C56DA8">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一般得6～8分</w:t>
            </w:r>
          </w:p>
        </w:tc>
      </w:tr>
      <w:tr w14:paraId="5987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456A2D35">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8" w:type="dxa"/>
            <w:gridSpan w:val="2"/>
            <w:vMerge w:val="continue"/>
            <w:vAlign w:val="center"/>
          </w:tcPr>
          <w:p w14:paraId="15551C74">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5" w:type="dxa"/>
            <w:vMerge w:val="continue"/>
            <w:vAlign w:val="center"/>
          </w:tcPr>
          <w:p w14:paraId="7D314B94">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251" w:type="dxa"/>
            <w:vMerge w:val="continue"/>
            <w:vAlign w:val="center"/>
          </w:tcPr>
          <w:p w14:paraId="672D6ADE">
            <w:pPr>
              <w:pageBreakBefore w:val="0"/>
              <w:kinsoku/>
              <w:wordWrap/>
              <w:overflowPunct/>
              <w:topLinePunct w:val="0"/>
              <w:bidi w:val="0"/>
              <w:spacing w:line="360" w:lineRule="exact"/>
              <w:textAlignment w:val="auto"/>
              <w:rPr>
                <w:rFonts w:hint="eastAsia" w:ascii="宋体" w:hAnsi="宋体" w:eastAsia="宋体" w:cs="宋体"/>
                <w:sz w:val="21"/>
                <w:szCs w:val="21"/>
                <w:lang w:bidi="en-US"/>
              </w:rPr>
            </w:pPr>
          </w:p>
        </w:tc>
        <w:tc>
          <w:tcPr>
            <w:tcW w:w="915" w:type="dxa"/>
            <w:vMerge w:val="continue"/>
            <w:vAlign w:val="center"/>
          </w:tcPr>
          <w:p w14:paraId="5469BB76">
            <w:pPr>
              <w:pageBreakBefore w:val="0"/>
              <w:kinsoku/>
              <w:wordWrap/>
              <w:overflowPunct/>
              <w:topLinePunct w:val="0"/>
              <w:bidi w:val="0"/>
              <w:spacing w:line="360" w:lineRule="exact"/>
              <w:jc w:val="center"/>
              <w:textAlignment w:val="auto"/>
              <w:rPr>
                <w:rFonts w:hint="eastAsia" w:ascii="宋体" w:hAnsi="宋体" w:eastAsia="宋体" w:cs="宋体"/>
                <w:sz w:val="21"/>
                <w:szCs w:val="21"/>
                <w:u w:val="single"/>
              </w:rPr>
            </w:pPr>
          </w:p>
        </w:tc>
        <w:tc>
          <w:tcPr>
            <w:tcW w:w="4202" w:type="dxa"/>
            <w:vAlign w:val="center"/>
          </w:tcPr>
          <w:p w14:paraId="77497E86">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满意得8～10分</w:t>
            </w:r>
          </w:p>
        </w:tc>
      </w:tr>
      <w:tr w14:paraId="1D47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47F6CF1D">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8" w:type="dxa"/>
            <w:gridSpan w:val="2"/>
            <w:vMerge w:val="continue"/>
            <w:vAlign w:val="center"/>
          </w:tcPr>
          <w:p w14:paraId="62745C75">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5" w:type="dxa"/>
            <w:vMerge w:val="continue"/>
            <w:vAlign w:val="center"/>
          </w:tcPr>
          <w:p w14:paraId="250BD4F0">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251" w:type="dxa"/>
            <w:vMerge w:val="restart"/>
            <w:vAlign w:val="center"/>
          </w:tcPr>
          <w:p w14:paraId="51F4CC42">
            <w:pPr>
              <w:pageBreakBefore w:val="0"/>
              <w:kinsoku/>
              <w:wordWrap/>
              <w:overflowPunct/>
              <w:topLinePunct w:val="0"/>
              <w:bidi w:val="0"/>
              <w:spacing w:line="360" w:lineRule="exact"/>
              <w:textAlignment w:val="auto"/>
              <w:rPr>
                <w:rFonts w:hint="eastAsia" w:ascii="宋体" w:hAnsi="宋体" w:eastAsia="宋体" w:cs="宋体"/>
                <w:sz w:val="21"/>
                <w:szCs w:val="21"/>
                <w:lang w:bidi="en-US"/>
              </w:rPr>
            </w:pPr>
            <w:r>
              <w:rPr>
                <w:rFonts w:hint="eastAsia" w:ascii="宋体" w:hAnsi="宋体" w:eastAsia="宋体" w:cs="宋体"/>
                <w:sz w:val="21"/>
                <w:szCs w:val="21"/>
                <w:lang w:bidi="en-US"/>
              </w:rPr>
              <w:t>对本工程的建议</w:t>
            </w:r>
          </w:p>
        </w:tc>
        <w:tc>
          <w:tcPr>
            <w:tcW w:w="915" w:type="dxa"/>
            <w:vMerge w:val="restart"/>
            <w:vAlign w:val="center"/>
          </w:tcPr>
          <w:p w14:paraId="374CEE59">
            <w:pPr>
              <w:pageBreakBefore w:val="0"/>
              <w:kinsoku/>
              <w:wordWrap/>
              <w:overflowPunct/>
              <w:topLinePunct w:val="0"/>
              <w:bidi w:val="0"/>
              <w:spacing w:line="360" w:lineRule="exact"/>
              <w:jc w:val="center"/>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5 </w:t>
            </w:r>
            <w:r>
              <w:rPr>
                <w:rFonts w:hint="eastAsia" w:ascii="宋体" w:hAnsi="宋体" w:eastAsia="宋体" w:cs="宋体"/>
                <w:sz w:val="21"/>
                <w:szCs w:val="21"/>
              </w:rPr>
              <w:t>分</w:t>
            </w:r>
          </w:p>
        </w:tc>
        <w:tc>
          <w:tcPr>
            <w:tcW w:w="4202" w:type="dxa"/>
            <w:vAlign w:val="center"/>
          </w:tcPr>
          <w:p w14:paraId="1D60952A">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一般得3～4分</w:t>
            </w:r>
          </w:p>
        </w:tc>
      </w:tr>
      <w:tr w14:paraId="72FA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4FC99C3D">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8" w:type="dxa"/>
            <w:gridSpan w:val="2"/>
            <w:vMerge w:val="continue"/>
            <w:vAlign w:val="center"/>
          </w:tcPr>
          <w:p w14:paraId="047BBC6F">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5" w:type="dxa"/>
            <w:vMerge w:val="continue"/>
            <w:vAlign w:val="center"/>
          </w:tcPr>
          <w:p w14:paraId="19F8B3DC">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251" w:type="dxa"/>
            <w:vMerge w:val="continue"/>
            <w:vAlign w:val="center"/>
          </w:tcPr>
          <w:p w14:paraId="7518C7F9">
            <w:pPr>
              <w:pageBreakBefore w:val="0"/>
              <w:kinsoku/>
              <w:wordWrap/>
              <w:overflowPunct/>
              <w:topLinePunct w:val="0"/>
              <w:bidi w:val="0"/>
              <w:spacing w:line="360" w:lineRule="exact"/>
              <w:textAlignment w:val="auto"/>
              <w:rPr>
                <w:rFonts w:hint="eastAsia" w:ascii="宋体" w:hAnsi="宋体" w:eastAsia="宋体" w:cs="宋体"/>
                <w:sz w:val="21"/>
                <w:szCs w:val="21"/>
              </w:rPr>
            </w:pPr>
          </w:p>
        </w:tc>
        <w:tc>
          <w:tcPr>
            <w:tcW w:w="915" w:type="dxa"/>
            <w:vMerge w:val="continue"/>
            <w:vAlign w:val="center"/>
          </w:tcPr>
          <w:p w14:paraId="52BC9F7B">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4202" w:type="dxa"/>
            <w:vAlign w:val="center"/>
          </w:tcPr>
          <w:p w14:paraId="293F0D9F">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满意得4～5分</w:t>
            </w:r>
          </w:p>
        </w:tc>
      </w:tr>
      <w:tr w14:paraId="3E8F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restart"/>
            <w:vAlign w:val="center"/>
          </w:tcPr>
          <w:p w14:paraId="0A841C07">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2.2.4（2）</w:t>
            </w:r>
          </w:p>
        </w:tc>
        <w:tc>
          <w:tcPr>
            <w:tcW w:w="1108" w:type="dxa"/>
            <w:gridSpan w:val="2"/>
            <w:vMerge w:val="restart"/>
            <w:vAlign w:val="center"/>
          </w:tcPr>
          <w:p w14:paraId="0933EAF9">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主要人员</w:t>
            </w:r>
          </w:p>
        </w:tc>
        <w:tc>
          <w:tcPr>
            <w:tcW w:w="1105" w:type="dxa"/>
            <w:vMerge w:val="restart"/>
            <w:vAlign w:val="center"/>
          </w:tcPr>
          <w:p w14:paraId="27CA0F4D">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25 </w:t>
            </w:r>
            <w:r>
              <w:rPr>
                <w:rFonts w:hint="eastAsia" w:ascii="宋体" w:hAnsi="宋体" w:eastAsia="宋体" w:cs="宋体"/>
                <w:sz w:val="21"/>
                <w:szCs w:val="21"/>
              </w:rPr>
              <w:t>分</w:t>
            </w:r>
          </w:p>
        </w:tc>
        <w:tc>
          <w:tcPr>
            <w:tcW w:w="1251" w:type="dxa"/>
            <w:vMerge w:val="restart"/>
            <w:vAlign w:val="center"/>
          </w:tcPr>
          <w:p w14:paraId="0DB9C355">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bidi="en-US"/>
              </w:rPr>
              <w:t>总监理工程师任职资格与业绩</w:t>
            </w:r>
          </w:p>
        </w:tc>
        <w:tc>
          <w:tcPr>
            <w:tcW w:w="915" w:type="dxa"/>
            <w:vAlign w:val="center"/>
          </w:tcPr>
          <w:p w14:paraId="2A875CDC">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9 </w:t>
            </w:r>
            <w:r>
              <w:rPr>
                <w:rFonts w:hint="eastAsia" w:ascii="宋体" w:hAnsi="宋体" w:eastAsia="宋体" w:cs="宋体"/>
                <w:sz w:val="21"/>
                <w:szCs w:val="21"/>
              </w:rPr>
              <w:t>分</w:t>
            </w:r>
          </w:p>
        </w:tc>
        <w:tc>
          <w:tcPr>
            <w:tcW w:w="4202" w:type="dxa"/>
            <w:vAlign w:val="center"/>
          </w:tcPr>
          <w:p w14:paraId="26023A9E">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满足资格审查条件最低要求得9分</w:t>
            </w:r>
          </w:p>
        </w:tc>
      </w:tr>
      <w:tr w14:paraId="501D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211FA293">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8" w:type="dxa"/>
            <w:gridSpan w:val="2"/>
            <w:vMerge w:val="continue"/>
            <w:vAlign w:val="center"/>
          </w:tcPr>
          <w:p w14:paraId="55AC9FE4">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5" w:type="dxa"/>
            <w:vMerge w:val="continue"/>
            <w:vAlign w:val="center"/>
          </w:tcPr>
          <w:p w14:paraId="5A7EDA66">
            <w:pPr>
              <w:pageBreakBefore w:val="0"/>
              <w:kinsoku/>
              <w:wordWrap/>
              <w:overflowPunct/>
              <w:topLinePunct w:val="0"/>
              <w:bidi w:val="0"/>
              <w:spacing w:line="360" w:lineRule="exact"/>
              <w:jc w:val="center"/>
              <w:textAlignment w:val="auto"/>
              <w:rPr>
                <w:rFonts w:hint="eastAsia" w:ascii="宋体" w:hAnsi="宋体" w:eastAsia="宋体" w:cs="宋体"/>
                <w:sz w:val="21"/>
                <w:szCs w:val="21"/>
                <w:u w:val="single"/>
              </w:rPr>
            </w:pPr>
          </w:p>
        </w:tc>
        <w:tc>
          <w:tcPr>
            <w:tcW w:w="1251" w:type="dxa"/>
            <w:vMerge w:val="continue"/>
          </w:tcPr>
          <w:p w14:paraId="4F8D5C76">
            <w:pPr>
              <w:pageBreakBefore w:val="0"/>
              <w:kinsoku/>
              <w:wordWrap/>
              <w:overflowPunct/>
              <w:topLinePunct w:val="0"/>
              <w:bidi w:val="0"/>
              <w:spacing w:line="360" w:lineRule="exact"/>
              <w:textAlignment w:val="auto"/>
              <w:rPr>
                <w:rFonts w:hint="eastAsia" w:ascii="宋体" w:hAnsi="宋体" w:eastAsia="宋体" w:cs="宋体"/>
                <w:sz w:val="21"/>
                <w:szCs w:val="21"/>
                <w:lang w:bidi="en-US"/>
              </w:rPr>
            </w:pPr>
          </w:p>
        </w:tc>
        <w:tc>
          <w:tcPr>
            <w:tcW w:w="915" w:type="dxa"/>
            <w:vAlign w:val="center"/>
          </w:tcPr>
          <w:p w14:paraId="7D20F9CC">
            <w:pPr>
              <w:pageBreakBefore w:val="0"/>
              <w:kinsoku/>
              <w:wordWrap/>
              <w:overflowPunct/>
              <w:topLinePunct w:val="0"/>
              <w:bidi w:val="0"/>
              <w:spacing w:line="360" w:lineRule="exact"/>
              <w:jc w:val="center"/>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6 </w:t>
            </w:r>
            <w:r>
              <w:rPr>
                <w:rFonts w:hint="eastAsia" w:ascii="宋体" w:hAnsi="宋体" w:eastAsia="宋体" w:cs="宋体"/>
                <w:sz w:val="21"/>
                <w:szCs w:val="21"/>
              </w:rPr>
              <w:t>分</w:t>
            </w:r>
          </w:p>
        </w:tc>
        <w:tc>
          <w:tcPr>
            <w:tcW w:w="4202" w:type="dxa"/>
            <w:vAlign w:val="center"/>
          </w:tcPr>
          <w:p w14:paraId="751C0CA1">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在满足资格审查条件最低要求基础上，总监理工程师每增加1项满足资格审查条件最低要求的业绩加6分，最多加6分。</w:t>
            </w:r>
          </w:p>
        </w:tc>
      </w:tr>
      <w:tr w14:paraId="489E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147978BE">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8" w:type="dxa"/>
            <w:gridSpan w:val="2"/>
            <w:vMerge w:val="continue"/>
            <w:vAlign w:val="center"/>
          </w:tcPr>
          <w:p w14:paraId="1319D237">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5" w:type="dxa"/>
            <w:vMerge w:val="continue"/>
            <w:vAlign w:val="center"/>
          </w:tcPr>
          <w:p w14:paraId="60A23C81">
            <w:pPr>
              <w:pageBreakBefore w:val="0"/>
              <w:kinsoku/>
              <w:wordWrap/>
              <w:overflowPunct/>
              <w:topLinePunct w:val="0"/>
              <w:bidi w:val="0"/>
              <w:spacing w:line="360" w:lineRule="exact"/>
              <w:jc w:val="center"/>
              <w:textAlignment w:val="auto"/>
              <w:rPr>
                <w:rFonts w:hint="eastAsia" w:ascii="宋体" w:hAnsi="宋体" w:eastAsia="宋体" w:cs="宋体"/>
                <w:sz w:val="21"/>
                <w:szCs w:val="21"/>
                <w:u w:val="single"/>
              </w:rPr>
            </w:pPr>
          </w:p>
        </w:tc>
        <w:tc>
          <w:tcPr>
            <w:tcW w:w="1251" w:type="dxa"/>
            <w:vMerge w:val="restart"/>
            <w:vAlign w:val="center"/>
          </w:tcPr>
          <w:p w14:paraId="4AF8075D">
            <w:pPr>
              <w:pageBreakBefore w:val="0"/>
              <w:kinsoku/>
              <w:wordWrap/>
              <w:overflowPunct/>
              <w:topLinePunct w:val="0"/>
              <w:bidi w:val="0"/>
              <w:spacing w:line="360" w:lineRule="exact"/>
              <w:jc w:val="center"/>
              <w:textAlignment w:val="auto"/>
              <w:rPr>
                <w:rFonts w:hint="eastAsia" w:ascii="宋体" w:hAnsi="宋体" w:eastAsia="宋体" w:cs="宋体"/>
                <w:sz w:val="21"/>
                <w:szCs w:val="21"/>
                <w:lang w:bidi="en-US"/>
              </w:rPr>
            </w:pPr>
            <w:r>
              <w:rPr>
                <w:rFonts w:hint="eastAsia" w:ascii="宋体" w:hAnsi="宋体" w:eastAsia="宋体" w:cs="宋体"/>
                <w:sz w:val="21"/>
                <w:szCs w:val="21"/>
                <w:lang w:bidi="en-US"/>
              </w:rPr>
              <w:t>其他主要监理人员</w:t>
            </w:r>
          </w:p>
        </w:tc>
        <w:tc>
          <w:tcPr>
            <w:tcW w:w="915" w:type="dxa"/>
            <w:vAlign w:val="center"/>
          </w:tcPr>
          <w:p w14:paraId="283F6735">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6 </w:t>
            </w:r>
            <w:r>
              <w:rPr>
                <w:rFonts w:hint="eastAsia" w:ascii="宋体" w:hAnsi="宋体" w:eastAsia="宋体" w:cs="宋体"/>
                <w:sz w:val="21"/>
                <w:szCs w:val="21"/>
              </w:rPr>
              <w:t>分</w:t>
            </w:r>
          </w:p>
        </w:tc>
        <w:tc>
          <w:tcPr>
            <w:tcW w:w="4202" w:type="dxa"/>
            <w:vAlign w:val="center"/>
          </w:tcPr>
          <w:p w14:paraId="23672FBA">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满足资格审查条件最低要求得6分</w:t>
            </w:r>
          </w:p>
        </w:tc>
      </w:tr>
      <w:tr w14:paraId="6717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0B549504">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8" w:type="dxa"/>
            <w:gridSpan w:val="2"/>
            <w:vMerge w:val="continue"/>
            <w:vAlign w:val="center"/>
          </w:tcPr>
          <w:p w14:paraId="46E568D5">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5" w:type="dxa"/>
            <w:vMerge w:val="continue"/>
            <w:vAlign w:val="center"/>
          </w:tcPr>
          <w:p w14:paraId="69F39DED">
            <w:pPr>
              <w:pageBreakBefore w:val="0"/>
              <w:kinsoku/>
              <w:wordWrap/>
              <w:overflowPunct/>
              <w:topLinePunct w:val="0"/>
              <w:bidi w:val="0"/>
              <w:spacing w:line="360" w:lineRule="exact"/>
              <w:jc w:val="center"/>
              <w:textAlignment w:val="auto"/>
              <w:rPr>
                <w:rFonts w:hint="eastAsia" w:ascii="宋体" w:hAnsi="宋体" w:eastAsia="宋体" w:cs="宋体"/>
                <w:sz w:val="21"/>
                <w:szCs w:val="21"/>
                <w:u w:val="single"/>
              </w:rPr>
            </w:pPr>
          </w:p>
        </w:tc>
        <w:tc>
          <w:tcPr>
            <w:tcW w:w="1251" w:type="dxa"/>
            <w:vMerge w:val="continue"/>
          </w:tcPr>
          <w:p w14:paraId="41FE722D">
            <w:pPr>
              <w:pageBreakBefore w:val="0"/>
              <w:kinsoku/>
              <w:wordWrap/>
              <w:overflowPunct/>
              <w:topLinePunct w:val="0"/>
              <w:bidi w:val="0"/>
              <w:spacing w:line="360" w:lineRule="exact"/>
              <w:textAlignment w:val="auto"/>
              <w:rPr>
                <w:rFonts w:hint="eastAsia" w:ascii="宋体" w:hAnsi="宋体" w:eastAsia="宋体" w:cs="宋体"/>
                <w:sz w:val="21"/>
                <w:szCs w:val="21"/>
                <w:lang w:bidi="en-US"/>
              </w:rPr>
            </w:pPr>
          </w:p>
        </w:tc>
        <w:tc>
          <w:tcPr>
            <w:tcW w:w="915" w:type="dxa"/>
            <w:vAlign w:val="center"/>
          </w:tcPr>
          <w:p w14:paraId="596F0376">
            <w:pPr>
              <w:pageBreakBefore w:val="0"/>
              <w:kinsoku/>
              <w:wordWrap/>
              <w:overflowPunct/>
              <w:topLinePunct w:val="0"/>
              <w:bidi w:val="0"/>
              <w:spacing w:line="360" w:lineRule="exact"/>
              <w:jc w:val="center"/>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4 </w:t>
            </w:r>
            <w:r>
              <w:rPr>
                <w:rFonts w:hint="eastAsia" w:ascii="宋体" w:hAnsi="宋体" w:eastAsia="宋体" w:cs="宋体"/>
                <w:sz w:val="21"/>
                <w:szCs w:val="21"/>
              </w:rPr>
              <w:t>分</w:t>
            </w:r>
          </w:p>
        </w:tc>
        <w:tc>
          <w:tcPr>
            <w:tcW w:w="4202" w:type="dxa"/>
            <w:vAlign w:val="center"/>
          </w:tcPr>
          <w:p w14:paraId="12E49AEA">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其他监理人员综合能力得分0～4分。</w:t>
            </w:r>
          </w:p>
        </w:tc>
      </w:tr>
      <w:tr w14:paraId="09A3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Align w:val="center"/>
          </w:tcPr>
          <w:p w14:paraId="14AF19FD">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2.2.4（3）</w:t>
            </w:r>
          </w:p>
        </w:tc>
        <w:tc>
          <w:tcPr>
            <w:tcW w:w="1108" w:type="dxa"/>
            <w:gridSpan w:val="2"/>
            <w:vAlign w:val="center"/>
          </w:tcPr>
          <w:p w14:paraId="1C84B529">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评标价</w:t>
            </w:r>
          </w:p>
        </w:tc>
        <w:tc>
          <w:tcPr>
            <w:tcW w:w="1105" w:type="dxa"/>
            <w:vAlign w:val="center"/>
          </w:tcPr>
          <w:p w14:paraId="2A26ACDA">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10 </w:t>
            </w:r>
            <w:r>
              <w:rPr>
                <w:rFonts w:hint="eastAsia" w:ascii="宋体" w:hAnsi="宋体" w:eastAsia="宋体" w:cs="宋体"/>
                <w:sz w:val="21"/>
                <w:szCs w:val="21"/>
              </w:rPr>
              <w:t>分</w:t>
            </w:r>
          </w:p>
        </w:tc>
        <w:tc>
          <w:tcPr>
            <w:tcW w:w="6368" w:type="dxa"/>
            <w:gridSpan w:val="3"/>
          </w:tcPr>
          <w:p w14:paraId="28C20190">
            <w:pPr>
              <w:pageBreakBefore w:val="0"/>
              <w:kinsoku/>
              <w:wordWrap/>
              <w:overflowPunct/>
              <w:topLinePunct w:val="0"/>
              <w:bidi w:val="0"/>
              <w:spacing w:line="360" w:lineRule="exact"/>
              <w:ind w:right="113"/>
              <w:textAlignment w:val="auto"/>
              <w:rPr>
                <w:rFonts w:hint="eastAsia" w:ascii="宋体" w:hAnsi="宋体" w:eastAsia="宋体" w:cs="宋体"/>
                <w:sz w:val="21"/>
                <w:szCs w:val="21"/>
              </w:rPr>
            </w:pPr>
            <w:r>
              <w:rPr>
                <w:rFonts w:hint="eastAsia" w:ascii="宋体" w:hAnsi="宋体" w:eastAsia="宋体" w:cs="宋体"/>
                <w:sz w:val="21"/>
                <w:szCs w:val="21"/>
              </w:rPr>
              <w:t>评标价得分计算公式示例：</w:t>
            </w:r>
          </w:p>
          <w:p w14:paraId="35C2A709">
            <w:pPr>
              <w:pageBreakBefore w:val="0"/>
              <w:kinsoku/>
              <w:wordWrap/>
              <w:overflowPunct/>
              <w:topLinePunct w:val="0"/>
              <w:bidi w:val="0"/>
              <w:spacing w:line="360" w:lineRule="exact"/>
              <w:ind w:right="113"/>
              <w:textAlignment w:val="auto"/>
              <w:rPr>
                <w:rFonts w:hint="eastAsia" w:ascii="宋体" w:hAnsi="宋体" w:eastAsia="宋体" w:cs="宋体"/>
                <w:sz w:val="21"/>
                <w:szCs w:val="21"/>
              </w:rPr>
            </w:pPr>
            <w:r>
              <w:rPr>
                <w:rFonts w:hint="eastAsia" w:ascii="宋体" w:hAnsi="宋体" w:eastAsia="宋体" w:cs="宋体"/>
                <w:sz w:val="21"/>
                <w:szCs w:val="21"/>
              </w:rPr>
              <w:t>（1）如果投标人的评标价&gt;评标基准价，则评标价得分＝F－偏差率×100×E1；</w:t>
            </w:r>
          </w:p>
          <w:p w14:paraId="078EE72E">
            <w:pPr>
              <w:pageBreakBefore w:val="0"/>
              <w:kinsoku/>
              <w:wordWrap/>
              <w:overflowPunct/>
              <w:topLinePunct w:val="0"/>
              <w:bidi w:val="0"/>
              <w:spacing w:line="360" w:lineRule="exact"/>
              <w:ind w:right="113"/>
              <w:textAlignment w:val="auto"/>
              <w:rPr>
                <w:rFonts w:hint="eastAsia" w:ascii="宋体" w:hAnsi="宋体" w:eastAsia="宋体" w:cs="宋体"/>
                <w:sz w:val="21"/>
                <w:szCs w:val="21"/>
              </w:rPr>
            </w:pPr>
            <w:r>
              <w:rPr>
                <w:rFonts w:hint="eastAsia" w:ascii="宋体" w:hAnsi="宋体" w:eastAsia="宋体" w:cs="宋体"/>
                <w:sz w:val="21"/>
                <w:szCs w:val="21"/>
              </w:rPr>
              <w:t>（2）如果投标人的评标价≤评标基准价，则评标价得分＝F＋偏差率×100×E2。</w:t>
            </w:r>
          </w:p>
          <w:p w14:paraId="10477A33">
            <w:pPr>
              <w:pageBreakBefore w:val="0"/>
              <w:kinsoku/>
              <w:wordWrap/>
              <w:overflowPunct/>
              <w:topLinePunct w:val="0"/>
              <w:bidi w:val="0"/>
              <w:spacing w:line="360" w:lineRule="exact"/>
              <w:ind w:right="113"/>
              <w:textAlignment w:val="auto"/>
              <w:rPr>
                <w:rFonts w:hint="eastAsia" w:ascii="宋体" w:hAnsi="宋体" w:eastAsia="宋体" w:cs="宋体"/>
                <w:sz w:val="21"/>
                <w:szCs w:val="21"/>
              </w:rPr>
            </w:pPr>
            <w:r>
              <w:rPr>
                <w:rFonts w:hint="eastAsia" w:ascii="宋体" w:hAnsi="宋体" w:eastAsia="宋体" w:cs="宋体"/>
                <w:sz w:val="21"/>
                <w:szCs w:val="21"/>
              </w:rPr>
              <w:t>式中：F=10，E1=0.1，E2=0.05。</w:t>
            </w:r>
          </w:p>
          <w:p w14:paraId="2127A9A1">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其中：F是评标价所占的权重分值，E1是评标价每高于评标基准价一个百分点的扣分值，E2是评标价每低于评标基准价一个百分点的扣分值。评标价得分保留两位小数，小数点后第三位“四舍五入”。</w:t>
            </w:r>
          </w:p>
        </w:tc>
      </w:tr>
      <w:tr w14:paraId="3FEC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restart"/>
            <w:vAlign w:val="center"/>
          </w:tcPr>
          <w:p w14:paraId="5ADAB334">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2.2.4（4）</w:t>
            </w:r>
          </w:p>
        </w:tc>
        <w:tc>
          <w:tcPr>
            <w:tcW w:w="549" w:type="dxa"/>
            <w:vMerge w:val="restart"/>
            <w:vAlign w:val="center"/>
          </w:tcPr>
          <w:p w14:paraId="1319C49C">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其他因素</w:t>
            </w:r>
          </w:p>
        </w:tc>
        <w:tc>
          <w:tcPr>
            <w:tcW w:w="559" w:type="dxa"/>
            <w:vMerge w:val="restart"/>
            <w:vAlign w:val="center"/>
          </w:tcPr>
          <w:p w14:paraId="5E984BAB">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业绩</w:t>
            </w:r>
          </w:p>
        </w:tc>
        <w:tc>
          <w:tcPr>
            <w:tcW w:w="1105" w:type="dxa"/>
            <w:vMerge w:val="restart"/>
            <w:vAlign w:val="center"/>
          </w:tcPr>
          <w:p w14:paraId="139BC567">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20 </w:t>
            </w:r>
            <w:r>
              <w:rPr>
                <w:rFonts w:hint="eastAsia" w:ascii="宋体" w:hAnsi="宋体" w:eastAsia="宋体" w:cs="宋体"/>
                <w:sz w:val="21"/>
                <w:szCs w:val="21"/>
              </w:rPr>
              <w:t>分</w:t>
            </w:r>
          </w:p>
        </w:tc>
        <w:tc>
          <w:tcPr>
            <w:tcW w:w="1251" w:type="dxa"/>
            <w:vMerge w:val="restart"/>
            <w:vAlign w:val="center"/>
          </w:tcPr>
          <w:p w14:paraId="59F0B192">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近年内监理过的项目</w:t>
            </w:r>
          </w:p>
        </w:tc>
        <w:tc>
          <w:tcPr>
            <w:tcW w:w="915" w:type="dxa"/>
            <w:vAlign w:val="center"/>
          </w:tcPr>
          <w:p w14:paraId="01D90DE0">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12 </w:t>
            </w:r>
            <w:r>
              <w:rPr>
                <w:rFonts w:hint="eastAsia" w:ascii="宋体" w:hAnsi="宋体" w:eastAsia="宋体" w:cs="宋体"/>
                <w:sz w:val="21"/>
                <w:szCs w:val="21"/>
              </w:rPr>
              <w:t>分</w:t>
            </w:r>
          </w:p>
        </w:tc>
        <w:tc>
          <w:tcPr>
            <w:tcW w:w="4202" w:type="dxa"/>
            <w:vAlign w:val="center"/>
          </w:tcPr>
          <w:p w14:paraId="7EF60A0F">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满足资格审查条件最低要求，得12分；</w:t>
            </w:r>
          </w:p>
        </w:tc>
      </w:tr>
      <w:tr w14:paraId="68A5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7FDE5237">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549" w:type="dxa"/>
            <w:vMerge w:val="continue"/>
            <w:vAlign w:val="center"/>
          </w:tcPr>
          <w:p w14:paraId="0F050A36">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559" w:type="dxa"/>
            <w:vMerge w:val="continue"/>
            <w:vAlign w:val="center"/>
          </w:tcPr>
          <w:p w14:paraId="4F656167">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5" w:type="dxa"/>
            <w:vMerge w:val="continue"/>
            <w:vAlign w:val="center"/>
          </w:tcPr>
          <w:p w14:paraId="7F569790">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251" w:type="dxa"/>
            <w:vMerge w:val="continue"/>
          </w:tcPr>
          <w:p w14:paraId="380165C6">
            <w:pPr>
              <w:pageBreakBefore w:val="0"/>
              <w:kinsoku/>
              <w:wordWrap/>
              <w:overflowPunct/>
              <w:topLinePunct w:val="0"/>
              <w:bidi w:val="0"/>
              <w:spacing w:line="360" w:lineRule="exact"/>
              <w:textAlignment w:val="auto"/>
              <w:rPr>
                <w:rFonts w:hint="eastAsia" w:ascii="宋体" w:hAnsi="宋体" w:eastAsia="宋体" w:cs="宋体"/>
                <w:sz w:val="21"/>
                <w:szCs w:val="21"/>
              </w:rPr>
            </w:pPr>
          </w:p>
        </w:tc>
        <w:tc>
          <w:tcPr>
            <w:tcW w:w="915" w:type="dxa"/>
            <w:vAlign w:val="center"/>
          </w:tcPr>
          <w:p w14:paraId="28AA3D84">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8 </w:t>
            </w:r>
            <w:r>
              <w:rPr>
                <w:rFonts w:hint="eastAsia" w:ascii="宋体" w:hAnsi="宋体" w:eastAsia="宋体" w:cs="宋体"/>
                <w:sz w:val="21"/>
                <w:szCs w:val="21"/>
              </w:rPr>
              <w:t>分</w:t>
            </w:r>
          </w:p>
        </w:tc>
        <w:tc>
          <w:tcPr>
            <w:tcW w:w="4202" w:type="dxa"/>
            <w:vAlign w:val="center"/>
          </w:tcPr>
          <w:p w14:paraId="2606A99A">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在满足资格审查条件最低要求基础上，每增加50公里满足资格审查条件最低要求的业绩加2分，最多加8分。中间值按比例内插计算。</w:t>
            </w:r>
          </w:p>
        </w:tc>
      </w:tr>
      <w:tr w14:paraId="3C76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257D67B3">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549" w:type="dxa"/>
            <w:vMerge w:val="continue"/>
            <w:vAlign w:val="center"/>
          </w:tcPr>
          <w:p w14:paraId="56FFFFBD">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559" w:type="dxa"/>
            <w:vMerge w:val="restart"/>
            <w:vAlign w:val="center"/>
          </w:tcPr>
          <w:p w14:paraId="3602DAF7">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履约信誉</w:t>
            </w:r>
          </w:p>
        </w:tc>
        <w:tc>
          <w:tcPr>
            <w:tcW w:w="1105" w:type="dxa"/>
            <w:vMerge w:val="restart"/>
            <w:vAlign w:val="center"/>
          </w:tcPr>
          <w:p w14:paraId="2696FF63">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10 </w:t>
            </w:r>
            <w:r>
              <w:rPr>
                <w:rFonts w:hint="eastAsia" w:ascii="宋体" w:hAnsi="宋体" w:eastAsia="宋体" w:cs="宋体"/>
                <w:sz w:val="21"/>
                <w:szCs w:val="21"/>
              </w:rPr>
              <w:t>分</w:t>
            </w:r>
          </w:p>
        </w:tc>
        <w:tc>
          <w:tcPr>
            <w:tcW w:w="1251" w:type="dxa"/>
            <w:vMerge w:val="restart"/>
            <w:vAlign w:val="center"/>
          </w:tcPr>
          <w:p w14:paraId="09D041A6">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信用评价</w:t>
            </w:r>
          </w:p>
        </w:tc>
        <w:tc>
          <w:tcPr>
            <w:tcW w:w="915" w:type="dxa"/>
            <w:vAlign w:val="center"/>
          </w:tcPr>
          <w:p w14:paraId="15733820">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10 </w:t>
            </w:r>
            <w:r>
              <w:rPr>
                <w:rFonts w:hint="eastAsia" w:ascii="宋体" w:hAnsi="宋体" w:eastAsia="宋体" w:cs="宋体"/>
                <w:sz w:val="21"/>
                <w:szCs w:val="21"/>
              </w:rPr>
              <w:t>分</w:t>
            </w:r>
          </w:p>
        </w:tc>
        <w:tc>
          <w:tcPr>
            <w:tcW w:w="4202" w:type="dxa"/>
            <w:vAlign w:val="center"/>
          </w:tcPr>
          <w:p w14:paraId="003CEDA9">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信用等级AA</w:t>
            </w:r>
          </w:p>
        </w:tc>
      </w:tr>
      <w:tr w14:paraId="4374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17982362">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549" w:type="dxa"/>
            <w:vMerge w:val="continue"/>
            <w:vAlign w:val="center"/>
          </w:tcPr>
          <w:p w14:paraId="42921A87">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559" w:type="dxa"/>
            <w:vMerge w:val="continue"/>
            <w:vAlign w:val="center"/>
          </w:tcPr>
          <w:p w14:paraId="7A108229">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5" w:type="dxa"/>
            <w:vMerge w:val="continue"/>
            <w:vAlign w:val="center"/>
          </w:tcPr>
          <w:p w14:paraId="665E45EB">
            <w:pPr>
              <w:pageBreakBefore w:val="0"/>
              <w:kinsoku/>
              <w:wordWrap/>
              <w:overflowPunct/>
              <w:topLinePunct w:val="0"/>
              <w:bidi w:val="0"/>
              <w:spacing w:line="360" w:lineRule="exact"/>
              <w:jc w:val="center"/>
              <w:textAlignment w:val="auto"/>
              <w:rPr>
                <w:rFonts w:hint="eastAsia" w:ascii="宋体" w:hAnsi="宋体" w:eastAsia="宋体" w:cs="宋体"/>
                <w:sz w:val="21"/>
                <w:szCs w:val="21"/>
                <w:u w:val="single"/>
              </w:rPr>
            </w:pPr>
          </w:p>
        </w:tc>
        <w:tc>
          <w:tcPr>
            <w:tcW w:w="1251" w:type="dxa"/>
            <w:vMerge w:val="continue"/>
            <w:vAlign w:val="center"/>
          </w:tcPr>
          <w:p w14:paraId="49AD3F48">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915" w:type="dxa"/>
            <w:vAlign w:val="center"/>
          </w:tcPr>
          <w:p w14:paraId="1661911D">
            <w:pPr>
              <w:pageBreakBefore w:val="0"/>
              <w:kinsoku/>
              <w:wordWrap/>
              <w:overflowPunct/>
              <w:topLinePunct w:val="0"/>
              <w:bidi w:val="0"/>
              <w:spacing w:line="360" w:lineRule="exact"/>
              <w:jc w:val="center"/>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6 </w:t>
            </w:r>
            <w:r>
              <w:rPr>
                <w:rFonts w:hint="eastAsia" w:ascii="宋体" w:hAnsi="宋体" w:eastAsia="宋体" w:cs="宋体"/>
                <w:sz w:val="21"/>
                <w:szCs w:val="21"/>
              </w:rPr>
              <w:t>分</w:t>
            </w:r>
          </w:p>
        </w:tc>
        <w:tc>
          <w:tcPr>
            <w:tcW w:w="4202" w:type="dxa"/>
            <w:vAlign w:val="center"/>
          </w:tcPr>
          <w:p w14:paraId="3808C4DA">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信用等级A</w:t>
            </w:r>
          </w:p>
        </w:tc>
      </w:tr>
      <w:tr w14:paraId="4B10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6CF761F4">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549" w:type="dxa"/>
            <w:vMerge w:val="continue"/>
            <w:vAlign w:val="center"/>
          </w:tcPr>
          <w:p w14:paraId="6975B0B2">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559" w:type="dxa"/>
            <w:vMerge w:val="continue"/>
            <w:vAlign w:val="center"/>
          </w:tcPr>
          <w:p w14:paraId="63087B99">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1105" w:type="dxa"/>
            <w:vMerge w:val="continue"/>
            <w:vAlign w:val="center"/>
          </w:tcPr>
          <w:p w14:paraId="577A7BBD">
            <w:pPr>
              <w:pageBreakBefore w:val="0"/>
              <w:kinsoku/>
              <w:wordWrap/>
              <w:overflowPunct/>
              <w:topLinePunct w:val="0"/>
              <w:bidi w:val="0"/>
              <w:spacing w:line="360" w:lineRule="exact"/>
              <w:jc w:val="center"/>
              <w:textAlignment w:val="auto"/>
              <w:rPr>
                <w:rFonts w:hint="eastAsia" w:ascii="宋体" w:hAnsi="宋体" w:eastAsia="宋体" w:cs="宋体"/>
                <w:sz w:val="21"/>
                <w:szCs w:val="21"/>
                <w:u w:val="single"/>
              </w:rPr>
            </w:pPr>
          </w:p>
        </w:tc>
        <w:tc>
          <w:tcPr>
            <w:tcW w:w="1251" w:type="dxa"/>
            <w:vMerge w:val="continue"/>
            <w:vAlign w:val="center"/>
          </w:tcPr>
          <w:p w14:paraId="10E9F5BA">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915" w:type="dxa"/>
            <w:vAlign w:val="center"/>
          </w:tcPr>
          <w:p w14:paraId="7A84A1E8">
            <w:pPr>
              <w:pageBreakBefore w:val="0"/>
              <w:kinsoku/>
              <w:wordWrap/>
              <w:overflowPunct/>
              <w:topLinePunct w:val="0"/>
              <w:bidi w:val="0"/>
              <w:spacing w:line="360" w:lineRule="exact"/>
              <w:jc w:val="center"/>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0 </w:t>
            </w:r>
            <w:r>
              <w:rPr>
                <w:rFonts w:hint="eastAsia" w:ascii="宋体" w:hAnsi="宋体" w:eastAsia="宋体" w:cs="宋体"/>
                <w:sz w:val="21"/>
                <w:szCs w:val="21"/>
              </w:rPr>
              <w:t>分</w:t>
            </w:r>
          </w:p>
        </w:tc>
        <w:tc>
          <w:tcPr>
            <w:tcW w:w="4202" w:type="dxa"/>
            <w:vAlign w:val="center"/>
          </w:tcPr>
          <w:p w14:paraId="4D442A1B">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信用等级B、C、D</w:t>
            </w:r>
          </w:p>
        </w:tc>
      </w:tr>
      <w:tr w14:paraId="3AB2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467A5538">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549" w:type="dxa"/>
            <w:vMerge w:val="continue"/>
            <w:vAlign w:val="center"/>
          </w:tcPr>
          <w:p w14:paraId="5E240DA6">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559" w:type="dxa"/>
            <w:vMerge w:val="continue"/>
            <w:vAlign w:val="center"/>
          </w:tcPr>
          <w:p w14:paraId="282C7E03">
            <w:pPr>
              <w:pageBreakBefore w:val="0"/>
              <w:kinsoku/>
              <w:wordWrap/>
              <w:overflowPunct/>
              <w:topLinePunct w:val="0"/>
              <w:bidi w:val="0"/>
              <w:spacing w:line="360" w:lineRule="exact"/>
              <w:jc w:val="center"/>
              <w:textAlignment w:val="auto"/>
              <w:rPr>
                <w:rFonts w:hint="eastAsia" w:ascii="宋体" w:hAnsi="宋体" w:eastAsia="宋体" w:cs="宋体"/>
                <w:sz w:val="21"/>
                <w:szCs w:val="21"/>
              </w:rPr>
            </w:pPr>
          </w:p>
        </w:tc>
        <w:tc>
          <w:tcPr>
            <w:tcW w:w="7473" w:type="dxa"/>
            <w:gridSpan w:val="4"/>
            <w:vAlign w:val="center"/>
          </w:tcPr>
          <w:p w14:paraId="505B6304">
            <w:pPr>
              <w:pageBreakBefore w:val="0"/>
              <w:kinsoku/>
              <w:wordWrap/>
              <w:overflowPunct/>
              <w:topLinePunct w:val="0"/>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投标人的信用评价等级按照以下优先顺序采用：</w:t>
            </w:r>
          </w:p>
          <w:p w14:paraId="5CF2669F">
            <w:pPr>
              <w:pageBreakBefore w:val="0"/>
              <w:kinsoku/>
              <w:wordWrap/>
              <w:overflowPunct/>
              <w:topLinePunct w:val="0"/>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采用吉林省交通运输厅发布的《关于发布吉林省2024年度公路建设市场省级信用评价结果的通告》中的监理企业信用评价等级；</w:t>
            </w:r>
          </w:p>
          <w:p w14:paraId="5A57B741">
            <w:pPr>
              <w:pageBreakBefore w:val="0"/>
              <w:kinsoku/>
              <w:wordWrap/>
              <w:overflowPunct/>
              <w:topLinePunct w:val="0"/>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（2）采用交通运输部“全国公路建设市场监督管理系统—全国公路从业单位信用评价结果”中投标人的2023年度企业信用评价等级；</w:t>
            </w:r>
          </w:p>
          <w:p w14:paraId="721E1C1E">
            <w:pPr>
              <w:pageBreakBefore w:val="0"/>
              <w:kinsoku/>
              <w:wordWrap/>
              <w:overflowPunct/>
              <w:topLinePunct w:val="0"/>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（3）投标人无以上信用评价时，若未列入交通运输部“全国公路建设市场监督管理系统”中“不良信用记录”的，按A级对待，否则视其严重程度按B级或以下等级对待。</w:t>
            </w:r>
          </w:p>
          <w:p w14:paraId="5D239FB1">
            <w:pPr>
              <w:pageBreakBefore w:val="0"/>
              <w:kinsoku/>
              <w:wordWrap/>
              <w:overflowPunct/>
              <w:topLinePunct w:val="0"/>
              <w:autoSpaceDE w:val="0"/>
              <w:autoSpaceDN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（4）联合体投标的，首先按照上述优先顺序确定联合体成员中承担公路工程监理工作成员的信用等级，然后再按照联合体成员中承担公路工程监理工作成员的最低等级方的等级认定联合体整体信用等级。</w:t>
            </w:r>
          </w:p>
        </w:tc>
      </w:tr>
      <w:tr w14:paraId="70E7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9" w:type="dxa"/>
            <w:gridSpan w:val="7"/>
            <w:vAlign w:val="center"/>
          </w:tcPr>
          <w:p w14:paraId="6081DC29">
            <w:pPr>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需要补充的其他内容：无</w:t>
            </w:r>
          </w:p>
        </w:tc>
      </w:tr>
      <w:bookmarkEnd w:id="14"/>
    </w:tbl>
    <w:p w14:paraId="0E52A6E2">
      <w:pPr>
        <w:keepLines/>
        <w:pageBreakBefore w:val="0"/>
        <w:tabs>
          <w:tab w:val="left" w:pos="914"/>
        </w:tabs>
        <w:kinsoku/>
        <w:wordWrap/>
        <w:overflowPunct/>
        <w:topLinePunct w:val="0"/>
        <w:bidi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四、联系方式</w:t>
      </w:r>
    </w:p>
    <w:tbl>
      <w:tblPr>
        <w:tblStyle w:val="9"/>
        <w:tblW w:w="507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5072"/>
      </w:tblGrid>
      <w:tr w14:paraId="02E0789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18" w:hRule="atLeast"/>
        </w:trPr>
        <w:tc>
          <w:tcPr>
            <w:tcW w:w="5072" w:type="dxa"/>
            <w:tcBorders>
              <w:top w:val="single" w:color="FFFFFF" w:sz="4" w:space="0"/>
              <w:left w:val="single" w:color="FFFFFF" w:sz="4" w:space="0"/>
              <w:bottom w:val="single" w:color="FFFFFF" w:sz="4" w:space="0"/>
              <w:right w:val="single" w:color="FFFFFF" w:sz="4" w:space="0"/>
            </w:tcBorders>
          </w:tcPr>
          <w:p w14:paraId="13D8E546">
            <w:pPr>
              <w:pageBreakBefore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招 标 人: 吉林省高速公路集团有限公司</w:t>
            </w:r>
          </w:p>
        </w:tc>
      </w:tr>
      <w:tr w14:paraId="59B908E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18" w:hRule="atLeast"/>
        </w:trPr>
        <w:tc>
          <w:tcPr>
            <w:tcW w:w="5072" w:type="dxa"/>
            <w:tcBorders>
              <w:top w:val="single" w:color="FFFFFF" w:sz="4" w:space="0"/>
              <w:left w:val="single" w:color="FFFFFF" w:sz="4" w:space="0"/>
              <w:bottom w:val="single" w:color="FFFFFF" w:sz="4" w:space="0"/>
              <w:right w:val="single" w:color="FFFFFF" w:sz="4" w:space="0"/>
            </w:tcBorders>
          </w:tcPr>
          <w:p w14:paraId="787FCBC4">
            <w:pPr>
              <w:pageBreakBefore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    址: 长春市南关区人民大街11511号</w:t>
            </w:r>
          </w:p>
        </w:tc>
      </w:tr>
      <w:tr w14:paraId="0DBCD61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18" w:hRule="atLeast"/>
        </w:trPr>
        <w:tc>
          <w:tcPr>
            <w:tcW w:w="5072" w:type="dxa"/>
            <w:tcBorders>
              <w:top w:val="single" w:color="FFFFFF" w:sz="4" w:space="0"/>
              <w:left w:val="single" w:color="FFFFFF" w:sz="4" w:space="0"/>
              <w:bottom w:val="single" w:color="FFFFFF" w:sz="4" w:space="0"/>
              <w:right w:val="single" w:color="FFFFFF" w:sz="4" w:space="0"/>
            </w:tcBorders>
          </w:tcPr>
          <w:p w14:paraId="2A9769A6">
            <w:pPr>
              <w:pageBreakBefore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邮    编: 130028</w:t>
            </w:r>
          </w:p>
        </w:tc>
      </w:tr>
      <w:tr w14:paraId="2631052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18" w:hRule="atLeast"/>
        </w:trPr>
        <w:tc>
          <w:tcPr>
            <w:tcW w:w="5072" w:type="dxa"/>
            <w:tcBorders>
              <w:top w:val="single" w:color="FFFFFF" w:sz="4" w:space="0"/>
              <w:left w:val="single" w:color="FFFFFF" w:sz="4" w:space="0"/>
              <w:bottom w:val="single" w:color="FFFFFF" w:sz="4" w:space="0"/>
              <w:right w:val="single" w:color="FFFFFF" w:sz="4" w:space="0"/>
            </w:tcBorders>
          </w:tcPr>
          <w:p w14:paraId="206D8FC4">
            <w:pPr>
              <w:pageBreakBefore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 系 人:</w:t>
            </w:r>
            <w:r>
              <w:rPr>
                <w:rFonts w:hint="eastAsia" w:ascii="宋体" w:hAnsi="宋体" w:eastAsia="宋体" w:cs="宋体"/>
                <w:color w:val="000000"/>
                <w:sz w:val="21"/>
                <w:szCs w:val="21"/>
                <w:lang w:val="en-US" w:eastAsia="zh-CN"/>
              </w:rPr>
              <w:t>于先生</w:t>
            </w:r>
          </w:p>
        </w:tc>
      </w:tr>
      <w:tr w14:paraId="2268934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18" w:hRule="atLeast"/>
        </w:trPr>
        <w:tc>
          <w:tcPr>
            <w:tcW w:w="5072" w:type="dxa"/>
            <w:tcBorders>
              <w:top w:val="single" w:color="FFFFFF" w:sz="4" w:space="0"/>
              <w:left w:val="single" w:color="FFFFFF" w:sz="4" w:space="0"/>
              <w:bottom w:val="single" w:color="FFFFFF" w:sz="4" w:space="0"/>
              <w:right w:val="single" w:color="FFFFFF" w:sz="4" w:space="0"/>
            </w:tcBorders>
          </w:tcPr>
          <w:p w14:paraId="419F96CA">
            <w:pPr>
              <w:pageBreakBefore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    话: 0431-85254020</w:t>
            </w:r>
          </w:p>
        </w:tc>
      </w:tr>
      <w:tr w14:paraId="35FD102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18" w:hRule="atLeast"/>
        </w:trPr>
        <w:tc>
          <w:tcPr>
            <w:tcW w:w="5072" w:type="dxa"/>
            <w:tcBorders>
              <w:top w:val="single" w:color="FFFFFF" w:sz="4" w:space="0"/>
              <w:left w:val="single" w:color="FFFFFF" w:sz="4" w:space="0"/>
              <w:bottom w:val="single" w:color="FFFFFF" w:sz="4" w:space="0"/>
              <w:right w:val="single" w:color="FFFFFF" w:sz="4" w:space="0"/>
            </w:tcBorders>
          </w:tcPr>
          <w:p w14:paraId="35A596D1">
            <w:pPr>
              <w:pageBreakBefore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000000"/>
                <w:sz w:val="21"/>
                <w:szCs w:val="21"/>
              </w:rPr>
            </w:pPr>
          </w:p>
        </w:tc>
      </w:tr>
    </w:tbl>
    <w:p w14:paraId="48622ABF">
      <w:pPr>
        <w:pageBreakBefore w:val="0"/>
        <w:kinsoku/>
        <w:wordWrap/>
        <w:overflowPunct/>
        <w:topLinePunct w:val="0"/>
        <w:bidi w:val="0"/>
        <w:spacing w:line="360" w:lineRule="exact"/>
        <w:textAlignment w:val="auto"/>
        <w:rPr>
          <w:rFonts w:hint="eastAsia" w:ascii="宋体" w:hAnsi="宋体" w:eastAsia="宋体" w:cs="宋体"/>
          <w:sz w:val="21"/>
          <w:szCs w:val="21"/>
        </w:rPr>
      </w:pPr>
    </w:p>
    <w:sectPr>
      <w:footnotePr>
        <w:numFmt w:val="decimalEnclosedCircleChinese"/>
        <w:numRestart w:val="eachPage"/>
      </w:footnote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David">
    <w:altName w:val="Segoe Print"/>
    <w:panose1 w:val="00000000000000000000"/>
    <w:charset w:val="B1"/>
    <w:family w:val="swiss"/>
    <w:pitch w:val="default"/>
    <w:sig w:usb0="00000000" w:usb1="00000000" w:usb2="00000000" w:usb3="00000000" w:csb0="0000002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36E26283">
      <w:pPr>
        <w:pStyle w:val="7"/>
        <w:rPr>
          <w:rFonts w:hint="eastAsia" w:ascii="楷体" w:hAnsi="楷体" w:eastAsia="楷体"/>
        </w:rPr>
      </w:pPr>
      <w:r>
        <w:rPr>
          <w:rStyle w:val="13"/>
          <w:rFonts w:ascii="楷体" w:hAnsi="楷体" w:eastAsia="楷体"/>
        </w:rPr>
        <w:footnoteRef/>
      </w:r>
      <w:r>
        <w:rPr>
          <w:rFonts w:ascii="楷体" w:hAnsi="楷体" w:eastAsia="楷体"/>
        </w:rPr>
        <w:t xml:space="preserve"> </w:t>
      </w:r>
      <w:r>
        <w:rPr>
          <w:rFonts w:hint="eastAsia" w:ascii="楷体" w:hAnsi="楷体" w:eastAsia="楷体"/>
        </w:rPr>
        <w:t>本项规定仅适用于根据《关于发布公路工程从业企业资质名录的通知》（厅公路字[2011]114号）要求，招标人应通过名录对投标人资质条件进行审核的公路施工监理企业。</w:t>
      </w:r>
    </w:p>
  </w:footnote>
  <w:footnote w:id="1">
    <w:p w14:paraId="7DE0B327">
      <w:pPr>
        <w:pStyle w:val="7"/>
      </w:pPr>
      <w:r>
        <w:rPr>
          <w:rStyle w:val="13"/>
        </w:rPr>
        <w:footnoteRef/>
      </w:r>
      <w:r>
        <w:rPr>
          <w:rFonts w:hint="eastAsia" w:ascii="BatangChe" w:hAnsi="BatangChe"/>
          <w:b/>
        </w:rPr>
        <w:t>“</w:t>
      </w:r>
      <w:r>
        <w:rPr>
          <w:rFonts w:hint="eastAsia" w:ascii="BatangChe" w:hAnsi="BatangChe"/>
          <w:b/>
          <w:spacing w:val="-6"/>
        </w:rPr>
        <w:t>投标人自有人员”</w:t>
      </w:r>
      <w:r>
        <w:rPr>
          <w:rFonts w:hint="eastAsia" w:ascii="BatangChe" w:hAnsi="BatangChe"/>
          <w:spacing w:val="-6"/>
        </w:rPr>
        <w:t>指</w:t>
      </w:r>
      <w:r>
        <w:t>社保缴费证明中</w:t>
      </w:r>
      <w:r>
        <w:rPr>
          <w:rFonts w:hint="eastAsia" w:ascii="宋体" w:hAnsi="宋体"/>
        </w:rPr>
        <w:t>缴费单位与投标人名称一致</w:t>
      </w:r>
      <w:r>
        <w:rPr>
          <w:rFonts w:hint="eastAsia" w:ascii="BatangChe" w:hAnsi="BatangChe"/>
          <w:spacing w:val="-6"/>
        </w:rPr>
        <w:t>。</w:t>
      </w:r>
      <w:r>
        <w:rPr>
          <w:rFonts w:hint="eastAsia" w:ascii="宋体" w:hAnsi="宋体"/>
          <w:color w:val="000000"/>
          <w:lang w:val="zh-CN"/>
        </w:rPr>
        <w:t>如果投标人属事业法人单位，则应提供拟委任的总监理工程师是投标人单位职工的有效书面证明材料。</w:t>
      </w:r>
    </w:p>
  </w:footnote>
  <w:footnote w:id="2">
    <w:p w14:paraId="3045E5AA">
      <w:pPr>
        <w:pStyle w:val="7"/>
      </w:pPr>
      <w:r>
        <w:rPr>
          <w:rStyle w:val="13"/>
        </w:rPr>
        <w:footnoteRef/>
      </w:r>
      <w:r>
        <w:rPr>
          <w:rFonts w:hint="eastAsia" w:ascii="宋体" w:hAnsi="宋体" w:cs="宋体"/>
          <w:lang w:val="zh-CN"/>
        </w:rPr>
        <w:t>公路工程相关专业职称包括公路工程、桥梁工程、公路与桥梁工程、交通土建、隧道（地下结构）工程、交通工程等专业职称。如职称证上无专业，则以毕业证上的专业为准。</w:t>
      </w:r>
    </w:p>
  </w:footnote>
  <w:footnote w:id="3">
    <w:p w14:paraId="2759F509">
      <w:pPr>
        <w:pStyle w:val="7"/>
      </w:pPr>
      <w:r>
        <w:rPr>
          <w:rStyle w:val="13"/>
          <w:rFonts w:hint="eastAsia" w:asciiTheme="minorEastAsia" w:hAnsiTheme="minorEastAsia" w:eastAsiaTheme="minorEastAsia" w:cstheme="minorEastAsia"/>
        </w:rPr>
        <w:footnoteRef/>
      </w:r>
      <w:r>
        <w:rPr>
          <w:rFonts w:hint="eastAsia" w:asciiTheme="minorEastAsia" w:hAnsiTheme="minorEastAsia" w:eastAsiaTheme="minorEastAsia" w:cstheme="minorEastAsia"/>
        </w:rPr>
        <w:t>本款规定仅适用于根据《关于发布公路工程从业企业资质名录的通知》（厅公路字[2011]114号）要求，招标人应通过名录</w:t>
      </w:r>
      <w:r>
        <w:rPr>
          <w:rFonts w:hint="eastAsia"/>
        </w:rPr>
        <w:t>对投标人资质条件进行审核的公路施工监理企业。</w:t>
      </w:r>
    </w:p>
  </w:footnote>
  <w:footnote w:id="4">
    <w:p w14:paraId="2557AD63">
      <w:pPr>
        <w:pStyle w:val="7"/>
      </w:pPr>
      <w:r>
        <w:rPr>
          <w:rStyle w:val="13"/>
        </w:rPr>
        <w:footnoteRef/>
      </w:r>
      <w:r>
        <w:t>各评分因素（评标价和履约信誉评分项除外）得分一般不得低于其权重分值的60%，且各评分因素得分应以评标委员会各成员的打分平均值确定，分数保留两位小数</w:t>
      </w:r>
      <w:r>
        <w:rPr>
          <w:rFonts w:hint="eastAsia"/>
        </w:rPr>
        <w:t>。</w:t>
      </w:r>
      <w:r>
        <w:t>评标委员会成员总数为7人以上时，该平均值以去掉一个最高分和一个最低分后计算。评标委员会成员对某一项评分因素的评分低于权重分值60%的，应在评标报告中作出说明。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DE1914"/>
    <w:rsid w:val="00003745"/>
    <w:rsid w:val="00004BFF"/>
    <w:rsid w:val="000C7FFE"/>
    <w:rsid w:val="00197E62"/>
    <w:rsid w:val="001B2192"/>
    <w:rsid w:val="001F4B00"/>
    <w:rsid w:val="001F767C"/>
    <w:rsid w:val="0021561C"/>
    <w:rsid w:val="00316C16"/>
    <w:rsid w:val="0032384C"/>
    <w:rsid w:val="00345BC4"/>
    <w:rsid w:val="003F6697"/>
    <w:rsid w:val="005C0FBC"/>
    <w:rsid w:val="006436D3"/>
    <w:rsid w:val="00693667"/>
    <w:rsid w:val="0072686E"/>
    <w:rsid w:val="007367C8"/>
    <w:rsid w:val="007D0FB8"/>
    <w:rsid w:val="008641ED"/>
    <w:rsid w:val="008715DB"/>
    <w:rsid w:val="008E2951"/>
    <w:rsid w:val="008F1FBB"/>
    <w:rsid w:val="009769FA"/>
    <w:rsid w:val="009977F5"/>
    <w:rsid w:val="009B01BC"/>
    <w:rsid w:val="009C3604"/>
    <w:rsid w:val="00A72779"/>
    <w:rsid w:val="00B77B1E"/>
    <w:rsid w:val="00BC1D52"/>
    <w:rsid w:val="00C40C09"/>
    <w:rsid w:val="00C417B0"/>
    <w:rsid w:val="00C535BB"/>
    <w:rsid w:val="00D13144"/>
    <w:rsid w:val="00D51E17"/>
    <w:rsid w:val="00D57E3A"/>
    <w:rsid w:val="00DC39DC"/>
    <w:rsid w:val="00DE1914"/>
    <w:rsid w:val="00DF2D8E"/>
    <w:rsid w:val="00E61305"/>
    <w:rsid w:val="00EA5385"/>
    <w:rsid w:val="00EB672B"/>
    <w:rsid w:val="00F00CB4"/>
    <w:rsid w:val="00FE0676"/>
    <w:rsid w:val="00FF554C"/>
    <w:rsid w:val="1424165B"/>
    <w:rsid w:val="3B864303"/>
    <w:rsid w:val="593E6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7"/>
    <w:basedOn w:val="1"/>
    <w:next w:val="1"/>
    <w:unhideWhenUsed/>
    <w:qFormat/>
    <w:uiPriority w:val="39"/>
    <w:pPr>
      <w:ind w:left="1260"/>
      <w:jc w:val="left"/>
    </w:pPr>
    <w:rPr>
      <w:rFonts w:ascii="Times New Roman" w:hAnsi="Times New Roman" w:eastAsia="宋体" w:cs="Times New Roman"/>
      <w:sz w:val="18"/>
      <w:szCs w:val="18"/>
    </w:rPr>
  </w:style>
  <w:style w:type="paragraph" w:styleId="3">
    <w:name w:val="Normal Indent"/>
    <w:basedOn w:val="1"/>
    <w:qFormat/>
    <w:uiPriority w:val="0"/>
    <w:pPr>
      <w:widowControl/>
      <w:ind w:firstLine="420" w:firstLineChars="200"/>
      <w:jc w:val="center"/>
    </w:pPr>
    <w:rPr>
      <w:rFonts w:ascii="Times New Roman" w:hAnsi="Times New Roman" w:eastAsia="宋体" w:cs="Times New Roman"/>
      <w:b/>
      <w:kern w:val="0"/>
      <w:sz w:val="44"/>
      <w:szCs w:val="20"/>
    </w:rPr>
  </w:style>
  <w:style w:type="paragraph" w:styleId="4">
    <w:name w:val="Plain Text"/>
    <w:basedOn w:val="1"/>
    <w:qFormat/>
    <w:uiPriority w:val="99"/>
    <w:rPr>
      <w:rFonts w:ascii="宋体" w:hAnsi="Courier New" w:cs="Courier New"/>
      <w:szCs w:val="21"/>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6"/>
    <w:unhideWhenUsed/>
    <w:qFormat/>
    <w:uiPriority w:val="0"/>
    <w:pPr>
      <w:snapToGrid w:val="0"/>
      <w:jc w:val="left"/>
    </w:pPr>
    <w:rPr>
      <w:rFonts w:ascii="Times New Roman" w:hAnsi="Times New Roman" w:eastAsia="宋体" w:cs="Times New Roman"/>
      <w:kern w:val="0"/>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table" w:styleId="10">
    <w:name w:val="Table Grid"/>
    <w:basedOn w:val="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uiPriority w:val="99"/>
    <w:rPr>
      <w:color w:val="0000FF"/>
      <w:u w:val="single"/>
    </w:rPr>
  </w:style>
  <w:style w:type="character" w:styleId="13">
    <w:name w:val="footnote reference"/>
    <w:qFormat/>
    <w:uiPriority w:val="0"/>
    <w:rPr>
      <w:vertAlign w:val="superscript"/>
    </w:rPr>
  </w:style>
  <w:style w:type="character" w:customStyle="1" w:styleId="14">
    <w:name w:val="其他_"/>
    <w:link w:val="15"/>
    <w:qFormat/>
    <w:uiPriority w:val="0"/>
    <w:rPr>
      <w:rFonts w:ascii="宋体" w:hAnsi="宋体" w:cs="宋体"/>
      <w:shd w:val="clear" w:color="auto" w:fill="FFFFFF"/>
      <w:lang w:val="zh-CN" w:bidi="zh-CN"/>
    </w:rPr>
  </w:style>
  <w:style w:type="paragraph" w:customStyle="1" w:styleId="15">
    <w:name w:val="其他"/>
    <w:basedOn w:val="1"/>
    <w:link w:val="14"/>
    <w:qFormat/>
    <w:uiPriority w:val="0"/>
    <w:pPr>
      <w:shd w:val="clear" w:color="auto" w:fill="FFFFFF"/>
      <w:spacing w:line="430" w:lineRule="auto"/>
      <w:ind w:firstLine="400"/>
      <w:jc w:val="distribute"/>
    </w:pPr>
    <w:rPr>
      <w:rFonts w:ascii="宋体" w:hAnsi="宋体" w:cs="宋体"/>
      <w:lang w:val="zh-CN" w:bidi="zh-CN"/>
    </w:rPr>
  </w:style>
  <w:style w:type="character" w:customStyle="1" w:styleId="16">
    <w:name w:val="脚注文本 字符"/>
    <w:basedOn w:val="11"/>
    <w:link w:val="7"/>
    <w:qFormat/>
    <w:uiPriority w:val="0"/>
    <w:rPr>
      <w:rFonts w:ascii="Times New Roman" w:hAnsi="Times New Roman" w:eastAsia="宋体" w:cs="Times New Roman"/>
      <w:kern w:val="0"/>
      <w:sz w:val="18"/>
      <w:szCs w:val="18"/>
    </w:rPr>
  </w:style>
  <w:style w:type="character" w:customStyle="1" w:styleId="17">
    <w:name w:val="正文文本 (2)_"/>
    <w:link w:val="18"/>
    <w:qFormat/>
    <w:uiPriority w:val="0"/>
    <w:rPr>
      <w:rFonts w:ascii="宋体" w:hAnsi="宋体" w:cs="宋体"/>
      <w:sz w:val="22"/>
      <w:shd w:val="clear" w:color="auto" w:fill="FFFFFF"/>
    </w:rPr>
  </w:style>
  <w:style w:type="paragraph" w:customStyle="1" w:styleId="18">
    <w:name w:val="正文文本 (2)"/>
    <w:basedOn w:val="1"/>
    <w:link w:val="17"/>
    <w:qFormat/>
    <w:uiPriority w:val="0"/>
    <w:pPr>
      <w:shd w:val="clear" w:color="auto" w:fill="FFFFFF"/>
      <w:spacing w:before="300" w:line="439" w:lineRule="exact"/>
      <w:jc w:val="distribute"/>
    </w:pPr>
    <w:rPr>
      <w:rFonts w:ascii="宋体" w:hAnsi="宋体" w:cs="宋体"/>
      <w:sz w:val="22"/>
    </w:rPr>
  </w:style>
  <w:style w:type="paragraph" w:styleId="19">
    <w:name w:val="List Paragraph"/>
    <w:basedOn w:val="1"/>
    <w:qFormat/>
    <w:uiPriority w:val="34"/>
    <w:pPr>
      <w:ind w:firstLine="420" w:firstLineChars="200"/>
    </w:pPr>
    <w:rPr>
      <w:rFonts w:ascii="Times New Roman" w:hAnsi="Times New Roman" w:eastAsia="宋体" w:cs="Times New Roman"/>
    </w:rPr>
  </w:style>
  <w:style w:type="character" w:customStyle="1" w:styleId="20">
    <w:name w:val="正文文本 (2) + 9.5 pt"/>
    <w:qFormat/>
    <w:uiPriority w:val="0"/>
    <w:rPr>
      <w:rFonts w:ascii="MingLiU" w:hAnsi="MingLiU" w:eastAsia="MingLiU" w:cs="MingLiU"/>
      <w:color w:val="000000"/>
      <w:spacing w:val="0"/>
      <w:w w:val="100"/>
      <w:position w:val="0"/>
      <w:sz w:val="19"/>
      <w:szCs w:val="19"/>
      <w:shd w:val="clear" w:color="auto" w:fill="FFFFFF"/>
      <w:lang w:val="zh-TW" w:eastAsia="zh-TW" w:bidi="zh-TW"/>
    </w:rPr>
  </w:style>
  <w:style w:type="character" w:customStyle="1" w:styleId="21">
    <w:name w:val="正文文本 (2) + 10 pt"/>
    <w:qFormat/>
    <w:uiPriority w:val="0"/>
    <w:rPr>
      <w:rFonts w:ascii="MingLiU" w:hAnsi="MingLiU" w:eastAsia="MingLiU" w:cs="MingLiU"/>
      <w:b/>
      <w:bCs/>
      <w:color w:val="000000"/>
      <w:spacing w:val="0"/>
      <w:w w:val="100"/>
      <w:position w:val="0"/>
      <w:sz w:val="20"/>
      <w:szCs w:val="20"/>
      <w:u w:val="none"/>
      <w:lang w:val="zh-TW" w:eastAsia="zh-TW" w:bidi="zh-TW"/>
    </w:rPr>
  </w:style>
  <w:style w:type="character" w:customStyle="1" w:styleId="22">
    <w:name w:val="正文文本 (2) + 9 pt"/>
    <w:qFormat/>
    <w:uiPriority w:val="0"/>
    <w:rPr>
      <w:rFonts w:ascii="MingLiU" w:hAnsi="MingLiU" w:eastAsia="MingLiU" w:cs="MingLiU"/>
      <w:color w:val="000000"/>
      <w:spacing w:val="0"/>
      <w:w w:val="100"/>
      <w:position w:val="0"/>
      <w:sz w:val="18"/>
      <w:szCs w:val="18"/>
      <w:u w:val="none"/>
      <w:shd w:val="clear" w:color="auto" w:fill="FFFFFF"/>
      <w:lang w:val="en-US" w:eastAsia="en-US" w:bidi="en-US"/>
    </w:rPr>
  </w:style>
  <w:style w:type="character" w:customStyle="1" w:styleId="23">
    <w:name w:val="页眉 字符"/>
    <w:basedOn w:val="11"/>
    <w:link w:val="6"/>
    <w:qFormat/>
    <w:uiPriority w:val="99"/>
    <w:rPr>
      <w:sz w:val="18"/>
      <w:szCs w:val="18"/>
    </w:rPr>
  </w:style>
  <w:style w:type="character" w:customStyle="1" w:styleId="24">
    <w:name w:val="页脚 字符"/>
    <w:basedOn w:val="11"/>
    <w:link w:val="5"/>
    <w:qFormat/>
    <w:uiPriority w:val="99"/>
    <w:rPr>
      <w:sz w:val="18"/>
      <w:szCs w:val="18"/>
    </w:rPr>
  </w:style>
  <w:style w:type="character" w:customStyle="1" w:styleId="25">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character" w:customStyle="1" w:styleId="26">
    <w:name w:val="MSG_EN_FONT_STYLE_NAME_TEMPLATE_ROLE_NUMBER MSG_EN_FONT_STYLE_NAME_BY_ROLE_TEXT 13_"/>
    <w:link w:val="27"/>
    <w:qFormat/>
    <w:uiPriority w:val="0"/>
    <w:rPr>
      <w:rFonts w:ascii="PMingLiU" w:hAnsi="PMingLiU" w:eastAsia="PMingLiU" w:cs="PMingLiU"/>
      <w:shd w:val="clear" w:color="auto" w:fill="FFFFFF"/>
    </w:rPr>
  </w:style>
  <w:style w:type="paragraph" w:customStyle="1" w:styleId="27">
    <w:name w:val="MSG_EN_FONT_STYLE_NAME_TEMPLATE_ROLE_NUMBER MSG_EN_FONT_STYLE_NAME_BY_ROLE_TEXT 131"/>
    <w:basedOn w:val="1"/>
    <w:link w:val="26"/>
    <w:qFormat/>
    <w:uiPriority w:val="0"/>
    <w:pPr>
      <w:shd w:val="clear" w:color="auto" w:fill="FFFFFF"/>
      <w:spacing w:before="340" w:after="160" w:line="398" w:lineRule="exact"/>
      <w:jc w:val="distribute"/>
    </w:pPr>
    <w:rPr>
      <w:rFonts w:ascii="PMingLiU" w:hAnsi="PMingLiU" w:eastAsia="PMingLiU" w:cs="PMingLiU"/>
    </w:rPr>
  </w:style>
  <w:style w:type="character" w:customStyle="1" w:styleId="28">
    <w:name w:val="MSG_EN_FONT_STYLE_NAME_TEMPLATE_ROLE_NUMBER MSG_EN_FONT_STYLE_NAME_BY_ROLE_TEXT 5_"/>
    <w:link w:val="29"/>
    <w:qFormat/>
    <w:uiPriority w:val="0"/>
    <w:rPr>
      <w:rFonts w:ascii="PMingLiU" w:hAnsi="PMingLiU" w:eastAsia="PMingLiU" w:cs="PMingLiU"/>
      <w:sz w:val="17"/>
      <w:szCs w:val="17"/>
      <w:shd w:val="clear" w:color="auto" w:fill="FFFFFF"/>
    </w:rPr>
  </w:style>
  <w:style w:type="paragraph" w:customStyle="1" w:styleId="29">
    <w:name w:val="MSG_EN_FONT_STYLE_NAME_TEMPLATE_ROLE_NUMBER MSG_EN_FONT_STYLE_NAME_BY_ROLE_TEXT 5"/>
    <w:basedOn w:val="1"/>
    <w:link w:val="28"/>
    <w:qFormat/>
    <w:uiPriority w:val="0"/>
    <w:pPr>
      <w:shd w:val="clear" w:color="auto" w:fill="FFFFFF"/>
      <w:spacing w:before="5120" w:line="170" w:lineRule="exact"/>
      <w:jc w:val="left"/>
    </w:pPr>
    <w:rPr>
      <w:rFonts w:ascii="PMingLiU" w:hAnsi="PMingLiU" w:eastAsia="PMingLiU" w:cs="PMingLiU"/>
      <w:sz w:val="17"/>
      <w:szCs w:val="17"/>
    </w:rPr>
  </w:style>
  <w:style w:type="character" w:customStyle="1" w:styleId="30">
    <w:name w:val="正文文本 (7) + David"/>
    <w:qFormat/>
    <w:uiPriority w:val="0"/>
    <w:rPr>
      <w:rFonts w:ascii="David" w:hAnsi="David" w:eastAsia="David" w:cs="David"/>
      <w:color w:val="000000"/>
      <w:spacing w:val="0"/>
      <w:w w:val="100"/>
      <w:position w:val="0"/>
      <w:sz w:val="42"/>
      <w:szCs w:val="42"/>
      <w:shd w:val="clear" w:color="auto" w:fill="FFFFFF"/>
      <w:lang w:val="en-US" w:eastAsia="en-US" w:bidi="en-US"/>
    </w:rPr>
  </w:style>
  <w:style w:type="character" w:customStyle="1" w:styleId="31">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32">
    <w:name w:val="正文文本 (2) + Tahoma"/>
    <w:qFormat/>
    <w:uiPriority w:val="0"/>
    <w:rPr>
      <w:rFonts w:ascii="Tahoma" w:hAnsi="Tahoma" w:eastAsia="Tahoma" w:cs="Tahoma"/>
      <w:color w:val="000000"/>
      <w:spacing w:val="0"/>
      <w:w w:val="100"/>
      <w:position w:val="0"/>
      <w:sz w:val="18"/>
      <w:szCs w:val="18"/>
      <w:u w:val="none"/>
      <w:shd w:val="clear" w:color="auto" w:fill="FFFFFF"/>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FA32-893A-47C4-821B-1E69BDE9399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3826</Words>
  <Characters>4021</Characters>
  <Lines>262</Lines>
  <Paragraphs>305</Paragraphs>
  <TotalTime>11</TotalTime>
  <ScaleCrop>false</ScaleCrop>
  <LinksUpToDate>false</LinksUpToDate>
  <CharactersWithSpaces>4032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2021-08-02T04:08:00Z</dcterms:created>
  <dc:creator>微软用户</dc:creator>
  <cp:lastModifiedBy>酒痕染征尘</cp:lastModifiedBy>
  <dcterms:modified xsi:type="dcterms:W3CDTF">2025-08-08T03:41:09Z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eyJoZGlkIjoiZDQ1NTZiMjBjMDhiZmM4OGUzZDJmOWIxYTVkZGZiMWQiLCJ1c2VySWQiOiI0OTg4NzcwMzcifQ==</vt:lpwstr>
  </property>
  <property fmtid="{D5CDD505-2E9C-101B-9397-08002B2CF9AE}" pid="3" name="KSOProductBuildVer">
    <vt:lpwstr>2052-12.1.0.21915</vt:lpwstr>
  </property>
  <property fmtid="{D5CDD505-2E9C-101B-9397-08002B2CF9AE}" pid="4" name="ICV">
    <vt:lpwstr>2A7576AA60DA40E5A34C81E29FA19CEE_12</vt:lpwstr>
  </property>
</Properties>
</file>