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93EE">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长春市2026-2028年度普通国省干线</w:t>
      </w:r>
      <w:r>
        <w:rPr>
          <w:rFonts w:hint="eastAsia" w:ascii="宋体" w:hAnsi="宋体" w:eastAsia="宋体" w:cs="宋体"/>
          <w:b/>
          <w:sz w:val="21"/>
          <w:szCs w:val="21"/>
          <w:lang w:eastAsia="zh-CN"/>
        </w:rPr>
        <w:t>公路日常养护</w:t>
      </w:r>
    </w:p>
    <w:p w14:paraId="2941CA4A">
      <w:pPr>
        <w:keepLines w:val="0"/>
        <w:pageBreakBefore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招标文件公开内容</w:t>
      </w:r>
    </w:p>
    <w:p w14:paraId="5BFA3234">
      <w:pPr>
        <w:keepLines w:val="0"/>
        <w:pageBreakBefore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9"/>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0800F9A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投标人资质条件、</w:t>
            </w:r>
          </w:p>
          <w:p w14:paraId="04874E8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198CC5BC">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资质条件：见附录1</w:t>
            </w:r>
          </w:p>
          <w:p w14:paraId="0306BB48">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财务要求：见附录2</w:t>
            </w:r>
          </w:p>
          <w:p w14:paraId="4533FDBB">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业绩要求：见附录3</w:t>
            </w:r>
          </w:p>
          <w:p w14:paraId="5A0F53F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信誉要求：见附录4</w:t>
            </w:r>
          </w:p>
          <w:p w14:paraId="169778AD">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项目经理经历和项目总工资格：见附录5</w:t>
            </w:r>
          </w:p>
          <w:p w14:paraId="6321A7E1">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0DDC3669">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fldChar w:fldCharType="begin"/>
            </w:r>
            <w:r>
              <w:rPr>
                <w:rFonts w:hint="eastAsia" w:ascii="宋体" w:hAnsi="宋体" w:eastAsia="宋体" w:cs="宋体"/>
                <w:kern w:val="0"/>
                <w:sz w:val="21"/>
                <w:szCs w:val="21"/>
                <w:lang w:val="zh-CN"/>
              </w:rPr>
              <w:instrText xml:space="preserve"> eq \o\ac(</w:instrText>
            </w:r>
            <w:r>
              <w:rPr>
                <w:rFonts w:hint="eastAsia" w:ascii="宋体" w:hAnsi="宋体" w:eastAsia="宋体" w:cs="宋体"/>
                <w:kern w:val="0"/>
                <w:position w:val="-4"/>
                <w:sz w:val="31"/>
                <w:szCs w:val="21"/>
                <w:lang w:val="zh-CN"/>
              </w:rPr>
              <w:instrText xml:space="preserve">□</w:instrText>
            </w:r>
            <w:r>
              <w:rPr>
                <w:rFonts w:hint="eastAsia" w:ascii="宋体" w:hAnsi="宋体" w:eastAsia="宋体" w:cs="宋体"/>
                <w:kern w:val="0"/>
                <w:position w:val="0"/>
                <w:sz w:val="21"/>
                <w:szCs w:val="21"/>
                <w:lang w:val="zh-CN"/>
              </w:rPr>
              <w:instrText xml:space="preserve">,√)</w:instrText>
            </w:r>
            <w:r>
              <w:rPr>
                <w:rFonts w:hint="eastAsia" w:ascii="宋体" w:hAnsi="宋体" w:eastAsia="宋体" w:cs="宋体"/>
                <w:kern w:val="0"/>
                <w:sz w:val="21"/>
                <w:szCs w:val="21"/>
                <w:lang w:val="zh-CN"/>
              </w:rPr>
              <w:fldChar w:fldCharType="end"/>
            </w:r>
            <w:r>
              <w:rPr>
                <w:rFonts w:hint="eastAsia" w:ascii="宋体" w:hAnsi="宋体" w:eastAsia="宋体" w:cs="宋体"/>
                <w:sz w:val="21"/>
                <w:szCs w:val="21"/>
              </w:rPr>
              <w:t>不接受</w:t>
            </w:r>
          </w:p>
          <w:p w14:paraId="28E94534">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□接受</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D5C7411">
            <w:pPr>
              <w:pStyle w:val="13"/>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投标人不得存在的</w:t>
            </w:r>
          </w:p>
          <w:p w14:paraId="554451C9">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5415CC78">
            <w:pPr>
              <w:pStyle w:val="13"/>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投标人不得存在的</w:t>
            </w:r>
          </w:p>
          <w:p w14:paraId="33B79BFC">
            <w:pPr>
              <w:pStyle w:val="13"/>
              <w:keepNext/>
              <w:keepLines w:val="0"/>
              <w:pageBreakBefore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kern w:val="2"/>
                <w:sz w:val="21"/>
                <w:szCs w:val="21"/>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w:t>
            </w:r>
          </w:p>
        </w:tc>
      </w:tr>
    </w:tbl>
    <w:p w14:paraId="36FBC0D2">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0" w:name="_Toc144974502"/>
      <w:bookmarkStart w:id="1" w:name="_Toc502741808"/>
      <w:bookmarkStart w:id="2" w:name="_Toc152042310"/>
      <w:bookmarkStart w:id="3" w:name="_Toc179632551"/>
      <w:bookmarkStart w:id="4" w:name="_Toc152045534"/>
      <w:bookmarkStart w:id="5" w:name="_Toc14854"/>
      <w:r>
        <w:rPr>
          <w:rFonts w:hint="eastAsia" w:ascii="宋体" w:hAnsi="宋体" w:eastAsia="宋体" w:cs="宋体"/>
          <w:color w:val="auto"/>
          <w:sz w:val="21"/>
          <w:szCs w:val="21"/>
          <w:highlight w:val="none"/>
        </w:rPr>
        <w:t>1.4投标人资格要求（适用于未进行资格预审的）</w:t>
      </w:r>
      <w:bookmarkEnd w:id="0"/>
      <w:bookmarkEnd w:id="1"/>
      <w:bookmarkEnd w:id="2"/>
      <w:bookmarkEnd w:id="3"/>
      <w:bookmarkEnd w:id="4"/>
    </w:p>
    <w:p w14:paraId="3CDEAA5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6A802A1A">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56292F66">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71A723C8">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3C439048">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6F230EF8">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1413BF4E">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045DEAC9">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38A578A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41E0255D">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380AA7E5">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7289AFC5">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D391A49">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w:t>
      </w:r>
      <w:r>
        <w:rPr>
          <w:rFonts w:hint="eastAsia" w:ascii="宋体" w:hAnsi="宋体" w:eastAsia="宋体" w:cs="宋体"/>
          <w:color w:val="auto"/>
          <w:sz w:val="21"/>
          <w:szCs w:val="21"/>
          <w:highlight w:val="none"/>
        </w:rPr>
        <w:t>已</w:t>
      </w:r>
      <w:r>
        <w:rPr>
          <w:rFonts w:hint="eastAsia" w:ascii="宋体" w:hAnsi="宋体" w:eastAsia="宋体" w:cs="宋体"/>
          <w:color w:val="auto"/>
          <w:sz w:val="21"/>
          <w:szCs w:val="21"/>
          <w:highlight w:val="none"/>
        </w:rPr>
        <w:t>代表了联合体各成员的真实情况；</w:t>
      </w:r>
    </w:p>
    <w:p w14:paraId="71438E58">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1EE5AE4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569B63BD">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2E815A56">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w:t>
      </w:r>
      <w:r>
        <w:rPr>
          <w:rFonts w:hint="eastAsia" w:ascii="宋体" w:hAnsi="宋体" w:eastAsia="宋体" w:cs="宋体"/>
          <w:color w:val="auto"/>
          <w:sz w:val="21"/>
          <w:szCs w:val="21"/>
          <w:highlight w:val="none"/>
        </w:rPr>
        <w:t>害</w:t>
      </w:r>
      <w:r>
        <w:rPr>
          <w:rFonts w:hint="eastAsia" w:ascii="宋体" w:hAnsi="宋体" w:eastAsia="宋体" w:cs="宋体"/>
          <w:color w:val="auto"/>
          <w:sz w:val="21"/>
          <w:szCs w:val="21"/>
          <w:highlight w:val="none"/>
        </w:rPr>
        <w:t>关系且可能影响招标公正性；</w:t>
      </w:r>
    </w:p>
    <w:p w14:paraId="5DA950CC">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1F9ED6FB">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69B2ED54">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225FF818">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4A42B50F">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002375CF">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7F765175">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487F55F8">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17F324A9">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1C4B6FF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6A25B8B2">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03AFBDAD">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0A9DAEC4">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6EB02D0D">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中被列入严重违法失信企业名单；</w:t>
      </w:r>
    </w:p>
    <w:p w14:paraId="785BFA25">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中被列入失信被执行人名单；</w:t>
      </w:r>
    </w:p>
    <w:p w14:paraId="4EC65C9A">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5A2A7B9B">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296B9CA3">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w:t>
      </w:r>
      <w:r>
        <w:rPr>
          <w:rFonts w:hint="eastAsia" w:ascii="宋体" w:hAnsi="宋体" w:eastAsia="宋体" w:cs="宋体"/>
          <w:color w:val="auto"/>
          <w:sz w:val="21"/>
          <w:szCs w:val="21"/>
          <w:highlight w:val="none"/>
        </w:rPr>
        <w:t>“全国公路建设市场监督管理系统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https://hwdms.mot.gov.cn）”</w:t>
      </w:r>
      <w:r>
        <w:rPr>
          <w:rFonts w:hint="eastAsia" w:ascii="宋体" w:hAnsi="宋体" w:eastAsia="宋体" w:cs="宋体"/>
          <w:color w:val="auto"/>
          <w:sz w:val="21"/>
          <w:szCs w:val="21"/>
          <w:highlight w:val="none"/>
        </w:rPr>
        <w:t>中的公路工程施工资质企业名录，且投标人名称和资质与该名录中的相应企业名称和资质完全一致。投标人不满足本项规定条件的，将被否决投标。</w:t>
      </w:r>
      <w:r>
        <w:rPr>
          <w:rStyle w:val="11"/>
          <w:rFonts w:hint="eastAsia" w:ascii="宋体" w:hAnsi="宋体" w:eastAsia="宋体" w:cs="宋体"/>
          <w:color w:val="auto"/>
          <w:sz w:val="21"/>
          <w:szCs w:val="21"/>
          <w:highlight w:val="none"/>
        </w:rPr>
        <w:footnoteReference w:id="0"/>
      </w:r>
    </w:p>
    <w:p w14:paraId="634909E0">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sz w:val="21"/>
          <w:szCs w:val="21"/>
        </w:rPr>
      </w:pPr>
    </w:p>
    <w:bookmarkEnd w:id="5"/>
    <w:p w14:paraId="063967D5">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6" w:name="_Toc28605"/>
      <w:r>
        <w:rPr>
          <w:rFonts w:hint="eastAsia" w:ascii="宋体" w:hAnsi="宋体" w:eastAsia="宋体" w:cs="宋体"/>
          <w:b/>
          <w:bCs/>
          <w:color w:val="auto"/>
          <w:sz w:val="21"/>
          <w:szCs w:val="21"/>
          <w:highlight w:val="none"/>
        </w:rPr>
        <w:t>附录1</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资格审查条件（资质最低要求）</w:t>
      </w:r>
      <w:bookmarkEnd w:id="6"/>
    </w:p>
    <w:tbl>
      <w:tblPr>
        <w:tblStyle w:val="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1"/>
      </w:tblGrid>
      <w:tr w14:paraId="52D9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31" w:type="dxa"/>
            <w:tcBorders>
              <w:top w:val="single" w:color="auto" w:sz="12" w:space="0"/>
              <w:left w:val="single" w:color="auto" w:sz="12" w:space="0"/>
              <w:right w:val="single" w:color="auto" w:sz="12" w:space="0"/>
            </w:tcBorders>
            <w:vAlign w:val="center"/>
          </w:tcPr>
          <w:p w14:paraId="6E812D20">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企业资质等级要求</w:t>
            </w:r>
          </w:p>
        </w:tc>
      </w:tr>
      <w:tr w14:paraId="1AB1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tcBorders>
              <w:left w:val="single" w:color="auto" w:sz="12" w:space="0"/>
              <w:bottom w:val="single" w:color="auto" w:sz="12" w:space="0"/>
              <w:right w:val="single" w:color="auto" w:sz="12" w:space="0"/>
            </w:tcBorders>
            <w:vAlign w:val="center"/>
          </w:tcPr>
          <w:p w14:paraId="38F36FE1">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无</w:t>
            </w:r>
          </w:p>
        </w:tc>
      </w:tr>
    </w:tbl>
    <w:p w14:paraId="3030A835">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7" w:name="_Toc23472"/>
      <w:r>
        <w:rPr>
          <w:rFonts w:hint="eastAsia" w:ascii="宋体" w:hAnsi="宋体" w:eastAsia="宋体" w:cs="宋体"/>
          <w:b/>
          <w:bCs/>
          <w:color w:val="auto"/>
          <w:sz w:val="21"/>
          <w:szCs w:val="21"/>
          <w:highlight w:val="none"/>
        </w:rPr>
        <w:t>附录2</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资格审查条件（财务最低要求）</w:t>
      </w:r>
      <w:bookmarkEnd w:id="7"/>
    </w:p>
    <w:tbl>
      <w:tblPr>
        <w:tblStyle w:val="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0187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61EA0F5D">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2FCC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6F79B3AC">
            <w:pPr>
              <w:keepLines w:val="0"/>
              <w:pageBreakBefore w:val="0"/>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近三年</w:t>
            </w:r>
            <w:r>
              <w:rPr>
                <w:rFonts w:hint="eastAsia" w:ascii="宋体" w:hAnsi="宋体" w:eastAsia="宋体" w:cs="宋体"/>
                <w:color w:val="auto"/>
                <w:kern w:val="0"/>
                <w:sz w:val="21"/>
                <w:szCs w:val="21"/>
                <w:highlight w:val="none"/>
              </w:rPr>
              <w:t>具有</w:t>
            </w:r>
            <w:r>
              <w:rPr>
                <w:rFonts w:hint="eastAsia" w:ascii="宋体" w:hAnsi="宋体" w:eastAsia="宋体" w:cs="宋体"/>
                <w:color w:val="auto"/>
                <w:kern w:val="0"/>
                <w:sz w:val="21"/>
                <w:szCs w:val="21"/>
                <w:highlight w:val="none"/>
                <w:lang w:val="en-US" w:eastAsia="zh-CN"/>
              </w:rPr>
              <w:t>良好的商业信誉和</w:t>
            </w:r>
            <w:r>
              <w:rPr>
                <w:rFonts w:hint="eastAsia" w:ascii="宋体" w:hAnsi="宋体" w:eastAsia="宋体" w:cs="宋体"/>
                <w:color w:val="auto"/>
                <w:kern w:val="0"/>
                <w:sz w:val="21"/>
                <w:szCs w:val="21"/>
                <w:highlight w:val="none"/>
              </w:rPr>
              <w:t>健全的财务会计制度。</w:t>
            </w:r>
          </w:p>
        </w:tc>
      </w:tr>
    </w:tbl>
    <w:p w14:paraId="6546C23A">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8" w:name="_Toc25665"/>
      <w:r>
        <w:rPr>
          <w:rFonts w:hint="eastAsia" w:ascii="宋体" w:hAnsi="宋体" w:eastAsia="宋体" w:cs="宋体"/>
          <w:b/>
          <w:bCs/>
          <w:color w:val="auto"/>
          <w:sz w:val="21"/>
          <w:szCs w:val="21"/>
          <w:highlight w:val="none"/>
        </w:rPr>
        <w:t>附录3</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资格审查条件（业绩最低要求）</w:t>
      </w:r>
      <w:bookmarkEnd w:id="8"/>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0AE6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top w:val="single" w:color="auto" w:sz="12" w:space="0"/>
              <w:left w:val="single" w:color="auto" w:sz="12" w:space="0"/>
              <w:right w:val="single" w:color="auto" w:sz="12" w:space="0"/>
            </w:tcBorders>
            <w:vAlign w:val="center"/>
          </w:tcPr>
          <w:p w14:paraId="6CD01D37">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1EF0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left w:val="single" w:color="auto" w:sz="12" w:space="0"/>
              <w:bottom w:val="single" w:color="auto" w:sz="12" w:space="0"/>
              <w:right w:val="single" w:color="auto" w:sz="12" w:space="0"/>
            </w:tcBorders>
            <w:vAlign w:val="center"/>
          </w:tcPr>
          <w:p w14:paraId="3F076BF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w:t>
            </w:r>
          </w:p>
        </w:tc>
      </w:tr>
    </w:tbl>
    <w:p w14:paraId="6873A434">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9" w:name="_Toc27516"/>
      <w:r>
        <w:rPr>
          <w:rFonts w:hint="eastAsia" w:ascii="宋体" w:hAnsi="宋体" w:eastAsia="宋体" w:cs="宋体"/>
          <w:b/>
          <w:bCs/>
          <w:color w:val="auto"/>
          <w:sz w:val="21"/>
          <w:szCs w:val="21"/>
          <w:highlight w:val="none"/>
        </w:rPr>
        <w:t>附录4</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资格审查条件（信誉最低要求）</w:t>
      </w:r>
      <w:bookmarkEnd w:id="9"/>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343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619BC24F">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5071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0B25EEF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bl>
    <w:p w14:paraId="14DD17EB">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10" w:name="_Toc183610787"/>
      <w:bookmarkStart w:id="11" w:name="_Toc8311"/>
      <w:r>
        <w:rPr>
          <w:rFonts w:hint="eastAsia" w:ascii="宋体" w:hAnsi="宋体" w:eastAsia="宋体" w:cs="宋体"/>
          <w:b/>
          <w:bCs/>
          <w:color w:val="auto"/>
          <w:sz w:val="21"/>
          <w:szCs w:val="21"/>
          <w:highlight w:val="none"/>
        </w:rPr>
        <w:t>附录5</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资格审查条件（项目经理和项目总工最低要求）</w:t>
      </w:r>
      <w:bookmarkEnd w:id="10"/>
      <w:bookmarkEnd w:id="11"/>
    </w:p>
    <w:tbl>
      <w:tblPr>
        <w:tblStyle w:val="9"/>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2179"/>
        <w:gridCol w:w="4016"/>
        <w:gridCol w:w="2189"/>
      </w:tblGrid>
      <w:tr w14:paraId="6B05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tcBorders>
              <w:top w:val="single" w:color="auto" w:sz="12" w:space="0"/>
              <w:left w:val="single" w:color="auto" w:sz="12" w:space="0"/>
            </w:tcBorders>
            <w:vAlign w:val="center"/>
          </w:tcPr>
          <w:p w14:paraId="3F68DA81">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2179" w:type="dxa"/>
            <w:tcBorders>
              <w:top w:val="single" w:color="auto" w:sz="12" w:space="0"/>
              <w:right w:val="single" w:color="auto" w:sz="4" w:space="0"/>
            </w:tcBorders>
            <w:vAlign w:val="center"/>
          </w:tcPr>
          <w:p w14:paraId="34350FE2">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/每标段</w:t>
            </w:r>
          </w:p>
        </w:tc>
        <w:tc>
          <w:tcPr>
            <w:tcW w:w="4016" w:type="dxa"/>
            <w:tcBorders>
              <w:top w:val="single" w:color="auto" w:sz="12" w:space="0"/>
              <w:left w:val="single" w:color="auto" w:sz="4" w:space="0"/>
              <w:right w:val="single" w:color="auto" w:sz="4" w:space="0"/>
            </w:tcBorders>
            <w:vAlign w:val="center"/>
          </w:tcPr>
          <w:p w14:paraId="13CAE992">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2189" w:type="dxa"/>
            <w:tcBorders>
              <w:top w:val="single" w:color="auto" w:sz="12" w:space="0"/>
              <w:left w:val="single" w:color="auto" w:sz="4" w:space="0"/>
              <w:right w:val="single" w:color="auto" w:sz="12" w:space="0"/>
            </w:tcBorders>
            <w:vAlign w:val="center"/>
          </w:tcPr>
          <w:p w14:paraId="6A14252D">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2364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tcBorders>
              <w:left w:val="single" w:color="auto" w:sz="12" w:space="0"/>
            </w:tcBorders>
            <w:vAlign w:val="center"/>
          </w:tcPr>
          <w:p w14:paraId="7042E655">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项目经理</w:t>
            </w:r>
          </w:p>
        </w:tc>
        <w:tc>
          <w:tcPr>
            <w:tcW w:w="2179" w:type="dxa"/>
            <w:tcBorders>
              <w:right w:val="single" w:color="auto" w:sz="4" w:space="0"/>
            </w:tcBorders>
            <w:vAlign w:val="center"/>
          </w:tcPr>
          <w:p w14:paraId="0B332119">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4016" w:type="dxa"/>
            <w:tcBorders>
              <w:left w:val="single" w:color="auto" w:sz="4" w:space="0"/>
              <w:right w:val="single" w:color="auto" w:sz="4" w:space="0"/>
            </w:tcBorders>
            <w:vAlign w:val="center"/>
          </w:tcPr>
          <w:p w14:paraId="4D702E1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w:t>
            </w:r>
            <w:r>
              <w:rPr>
                <w:rFonts w:hint="eastAsia" w:ascii="宋体" w:hAnsi="宋体" w:eastAsia="宋体" w:cs="宋体"/>
                <w:b/>
                <w:bCs/>
                <w:color w:val="auto"/>
                <w:sz w:val="21"/>
                <w:szCs w:val="21"/>
                <w:highlight w:val="none"/>
              </w:rPr>
              <w:t>自有</w:t>
            </w:r>
            <w:r>
              <w:rPr>
                <w:rStyle w:val="11"/>
                <w:rFonts w:hint="eastAsia" w:ascii="宋体" w:hAnsi="宋体" w:eastAsia="宋体" w:cs="宋体"/>
                <w:bCs/>
                <w:color w:val="auto"/>
                <w:sz w:val="21"/>
                <w:szCs w:val="21"/>
                <w:highlight w:val="none"/>
              </w:rPr>
              <w:footnoteReference w:id="2"/>
            </w:r>
            <w:r>
              <w:rPr>
                <w:rFonts w:hint="eastAsia" w:ascii="宋体" w:hAnsi="宋体" w:eastAsia="宋体" w:cs="宋体"/>
                <w:bCs/>
                <w:color w:val="auto"/>
                <w:sz w:val="21"/>
                <w:szCs w:val="21"/>
                <w:highlight w:val="none"/>
              </w:rPr>
              <w:t>人员；</w:t>
            </w:r>
          </w:p>
          <w:p w14:paraId="45846650">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（2）具有公路工程相关专业</w:t>
            </w:r>
            <w:r>
              <w:rPr>
                <w:rStyle w:val="11"/>
                <w:rFonts w:hint="eastAsia" w:ascii="宋体" w:hAnsi="宋体" w:eastAsia="宋体" w:cs="宋体"/>
                <w:bCs/>
                <w:color w:val="auto"/>
                <w:sz w:val="21"/>
                <w:szCs w:val="21"/>
                <w:highlight w:val="none"/>
              </w:rPr>
              <w:footnoteReference w:id="3"/>
            </w:r>
            <w:r>
              <w:rPr>
                <w:rFonts w:hint="eastAsia" w:ascii="宋体" w:hAnsi="宋体" w:eastAsia="宋体" w:cs="宋体"/>
                <w:b/>
                <w:bCs/>
                <w:color w:val="auto"/>
                <w:sz w:val="21"/>
                <w:szCs w:val="21"/>
                <w:highlight w:val="none"/>
                <w:lang w:val="en-US" w:eastAsia="zh-CN"/>
              </w:rPr>
              <w:t>中级</w:t>
            </w:r>
            <w:r>
              <w:rPr>
                <w:rFonts w:hint="eastAsia" w:ascii="宋体" w:hAnsi="宋体" w:eastAsia="宋体" w:cs="宋体"/>
                <w:bCs/>
                <w:color w:val="auto"/>
                <w:sz w:val="21"/>
                <w:szCs w:val="21"/>
                <w:highlight w:val="none"/>
              </w:rPr>
              <w:t>职称。</w:t>
            </w:r>
          </w:p>
        </w:tc>
        <w:tc>
          <w:tcPr>
            <w:tcW w:w="2189" w:type="dxa"/>
            <w:vMerge w:val="restart"/>
            <w:tcBorders>
              <w:left w:val="single" w:color="auto" w:sz="4" w:space="0"/>
              <w:right w:val="single" w:color="auto" w:sz="12" w:space="0"/>
            </w:tcBorders>
            <w:vAlign w:val="center"/>
          </w:tcPr>
          <w:p w14:paraId="53AEAEBD">
            <w:pPr>
              <w:keepLines w:val="0"/>
              <w:pageBreakBefore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无在岗项目（指目前未在其他项目上任职，或虽在其他项目上任职但本项目中标后能从该项目撤离）</w:t>
            </w:r>
          </w:p>
        </w:tc>
      </w:tr>
      <w:tr w14:paraId="215D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tcBorders>
              <w:left w:val="single" w:color="auto" w:sz="12" w:space="0"/>
              <w:bottom w:val="single" w:color="auto" w:sz="12" w:space="0"/>
            </w:tcBorders>
            <w:vAlign w:val="center"/>
          </w:tcPr>
          <w:p w14:paraId="3F8DF2BE">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项目总工</w:t>
            </w:r>
          </w:p>
        </w:tc>
        <w:tc>
          <w:tcPr>
            <w:tcW w:w="2179" w:type="dxa"/>
            <w:tcBorders>
              <w:bottom w:val="single" w:color="auto" w:sz="12" w:space="0"/>
            </w:tcBorders>
            <w:vAlign w:val="center"/>
          </w:tcPr>
          <w:p w14:paraId="475E32BF">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4016" w:type="dxa"/>
            <w:tcBorders>
              <w:bottom w:val="single" w:color="auto" w:sz="12" w:space="0"/>
              <w:right w:val="single" w:color="auto" w:sz="4" w:space="0"/>
            </w:tcBorders>
            <w:vAlign w:val="center"/>
          </w:tcPr>
          <w:p w14:paraId="05091845">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w:t>
            </w:r>
            <w:r>
              <w:rPr>
                <w:rFonts w:hint="eastAsia" w:ascii="宋体" w:hAnsi="宋体" w:eastAsia="宋体" w:cs="宋体"/>
                <w:b/>
                <w:bCs/>
                <w:color w:val="auto"/>
                <w:sz w:val="21"/>
                <w:szCs w:val="21"/>
                <w:highlight w:val="none"/>
              </w:rPr>
              <w:t>自有</w:t>
            </w:r>
            <w:r>
              <w:rPr>
                <w:rFonts w:hint="eastAsia" w:ascii="宋体" w:hAnsi="宋体" w:eastAsia="宋体" w:cs="宋体"/>
                <w:bCs/>
                <w:color w:val="auto"/>
                <w:sz w:val="21"/>
                <w:szCs w:val="21"/>
                <w:highlight w:val="none"/>
              </w:rPr>
              <w:t>人员；</w:t>
            </w:r>
          </w:p>
          <w:p w14:paraId="3FA1DDA0">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（2）具有公路工程相关专业</w:t>
            </w:r>
            <w:r>
              <w:rPr>
                <w:rFonts w:hint="eastAsia" w:ascii="宋体" w:hAnsi="宋体" w:eastAsia="宋体" w:cs="宋体"/>
                <w:b/>
                <w:bCs/>
                <w:color w:val="auto"/>
                <w:sz w:val="21"/>
                <w:szCs w:val="21"/>
                <w:highlight w:val="none"/>
                <w:lang w:val="en-US" w:eastAsia="zh-CN"/>
              </w:rPr>
              <w:t>中级</w:t>
            </w:r>
            <w:r>
              <w:rPr>
                <w:rFonts w:hint="eastAsia" w:ascii="宋体" w:hAnsi="宋体" w:eastAsia="宋体" w:cs="宋体"/>
                <w:bCs/>
                <w:color w:val="auto"/>
                <w:sz w:val="21"/>
                <w:szCs w:val="21"/>
                <w:highlight w:val="none"/>
              </w:rPr>
              <w:t>职称。</w:t>
            </w:r>
          </w:p>
        </w:tc>
        <w:tc>
          <w:tcPr>
            <w:tcW w:w="2189" w:type="dxa"/>
            <w:vMerge w:val="continue"/>
            <w:tcBorders>
              <w:left w:val="single" w:color="auto" w:sz="4" w:space="0"/>
              <w:bottom w:val="single" w:color="auto" w:sz="12" w:space="0"/>
              <w:right w:val="single" w:color="auto" w:sz="12" w:space="0"/>
            </w:tcBorders>
          </w:tcPr>
          <w:p w14:paraId="7EA8F23B">
            <w:pPr>
              <w:keepLines w:val="0"/>
              <w:pageBreakBefore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0737A7FB">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b/>
          <w:bCs/>
          <w:color w:val="auto"/>
          <w:sz w:val="21"/>
          <w:szCs w:val="21"/>
          <w:highlight w:val="none"/>
        </w:rPr>
      </w:pPr>
      <w:bookmarkStart w:id="12" w:name="_Toc22839"/>
      <w:r>
        <w:rPr>
          <w:rFonts w:hint="eastAsia" w:ascii="宋体" w:hAnsi="宋体" w:eastAsia="宋体" w:cs="宋体"/>
          <w:b/>
          <w:bCs/>
          <w:color w:val="auto"/>
          <w:sz w:val="21"/>
          <w:szCs w:val="21"/>
          <w:highlight w:val="none"/>
        </w:rPr>
        <w:t>附录</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　</w:t>
      </w:r>
      <w:r>
        <w:rPr>
          <w:rFonts w:hint="eastAsia" w:ascii="宋体" w:hAnsi="宋体" w:eastAsia="宋体" w:cs="宋体"/>
          <w:b/>
          <w:bCs/>
          <w:color w:val="auto"/>
          <w:sz w:val="21"/>
          <w:szCs w:val="21"/>
          <w:highlight w:val="none"/>
        </w:rPr>
        <w:t>资格审查条件（</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要求）</w:t>
      </w:r>
      <w:bookmarkEnd w:id="12"/>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B41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62859A65">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w:t>
            </w:r>
          </w:p>
        </w:tc>
      </w:tr>
      <w:tr w14:paraId="4B7D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28C41C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bl>
    <w:p w14:paraId="1D4651D2">
      <w:pPr>
        <w:keepLines w:val="0"/>
        <w:pageBreakBefore w:val="0"/>
        <w:kinsoku/>
        <w:wordWrap/>
        <w:overflowPunct/>
        <w:topLinePunct w:val="0"/>
        <w:bidi w:val="0"/>
        <w:spacing w:before="100" w:beforeAutospacing="1" w:line="360" w:lineRule="exact"/>
        <w:jc w:val="both"/>
        <w:textAlignment w:val="auto"/>
        <w:outlineLvl w:val="2"/>
        <w:rPr>
          <w:rFonts w:hint="eastAsia" w:ascii="宋体" w:hAnsi="宋体" w:eastAsia="宋体" w:cs="宋体"/>
          <w:b/>
          <w:bCs/>
          <w:sz w:val="21"/>
          <w:szCs w:val="21"/>
        </w:rPr>
      </w:pPr>
    </w:p>
    <w:p w14:paraId="5879A07D">
      <w:pPr>
        <w:keepLines w:val="0"/>
        <w:pageBreakBefore w:val="0"/>
        <w:widowControl/>
        <w:kinsoku/>
        <w:wordWrap/>
        <w:overflowPunct/>
        <w:topLinePunct w:val="0"/>
        <w:bidi w:val="0"/>
        <w:spacing w:line="360" w:lineRule="exact"/>
        <w:jc w:val="center"/>
        <w:textAlignment w:val="auto"/>
        <w:rPr>
          <w:rFonts w:hint="eastAsia" w:ascii="宋体" w:hAnsi="宋体" w:eastAsia="宋体" w:cs="宋体"/>
          <w:b/>
          <w:sz w:val="21"/>
          <w:szCs w:val="21"/>
        </w:rPr>
      </w:pPr>
      <w:bookmarkStart w:id="13" w:name="_Toc505091277"/>
      <w:bookmarkStart w:id="14" w:name="_Toc80536764"/>
      <w:bookmarkStart w:id="15" w:name="_Toc520285006"/>
      <w:r>
        <w:rPr>
          <w:rFonts w:hint="eastAsia" w:ascii="宋体" w:hAnsi="宋体" w:eastAsia="宋体" w:cs="宋体"/>
          <w:b/>
          <w:sz w:val="21"/>
          <w:szCs w:val="21"/>
        </w:rPr>
        <w:t>评标办法（技术评分最低标价法）</w:t>
      </w:r>
    </w:p>
    <w:bookmarkEnd w:id="13"/>
    <w:bookmarkEnd w:id="14"/>
    <w:bookmarkEnd w:id="15"/>
    <w:p w14:paraId="70F964B6">
      <w:pPr>
        <w:pStyle w:val="2"/>
        <w:keepNext w:val="0"/>
        <w:keepLines w:val="0"/>
        <w:pageBreakBefore w:val="0"/>
        <w:kinsoku/>
        <w:wordWrap/>
        <w:overflowPunct/>
        <w:topLinePunct w:val="0"/>
        <w:bidi w:val="0"/>
        <w:spacing w:before="0" w:after="0" w:line="360" w:lineRule="exact"/>
        <w:jc w:val="left"/>
        <w:textAlignment w:val="auto"/>
        <w:rPr>
          <w:rFonts w:hint="eastAsia" w:ascii="宋体" w:hAnsi="宋体" w:eastAsia="宋体" w:cs="宋体"/>
          <w:bCs w:val="0"/>
          <w:color w:val="auto"/>
          <w:sz w:val="21"/>
          <w:szCs w:val="21"/>
          <w:highlight w:val="none"/>
        </w:rPr>
      </w:pPr>
      <w:bookmarkStart w:id="16" w:name="_Toc22667"/>
      <w:r>
        <w:rPr>
          <w:rFonts w:hint="eastAsia" w:ascii="宋体" w:hAnsi="宋体" w:eastAsia="宋体" w:cs="宋体"/>
          <w:bCs w:val="0"/>
          <w:color w:val="auto"/>
          <w:sz w:val="21"/>
          <w:szCs w:val="21"/>
          <w:highlight w:val="none"/>
        </w:rPr>
        <w:t>评标办法前附表</w:t>
      </w:r>
      <w:bookmarkEnd w:id="16"/>
    </w:p>
    <w:tbl>
      <w:tblPr>
        <w:tblStyle w:val="9"/>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565"/>
        <w:gridCol w:w="7073"/>
      </w:tblGrid>
      <w:tr w14:paraId="08D8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464" w:type="dxa"/>
            <w:gridSpan w:val="2"/>
            <w:tcBorders>
              <w:top w:val="single" w:color="auto" w:sz="12" w:space="0"/>
              <w:left w:val="single" w:color="auto" w:sz="12" w:space="0"/>
            </w:tcBorders>
            <w:vAlign w:val="center"/>
          </w:tcPr>
          <w:p w14:paraId="210E3E1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7073" w:type="dxa"/>
            <w:tcBorders>
              <w:top w:val="single" w:color="auto" w:sz="12" w:space="0"/>
              <w:right w:val="single" w:color="auto" w:sz="12" w:space="0"/>
            </w:tcBorders>
            <w:vAlign w:val="center"/>
          </w:tcPr>
          <w:p w14:paraId="6868079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评审因素与标准</w:t>
            </w:r>
          </w:p>
        </w:tc>
      </w:tr>
      <w:tr w14:paraId="426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left w:val="single" w:color="auto" w:sz="12" w:space="0"/>
            </w:tcBorders>
            <w:vAlign w:val="center"/>
          </w:tcPr>
          <w:p w14:paraId="5F66824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565" w:type="dxa"/>
            <w:vAlign w:val="center"/>
          </w:tcPr>
          <w:p w14:paraId="55628DCC">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73" w:type="dxa"/>
            <w:tcBorders>
              <w:right w:val="single" w:color="auto" w:sz="12" w:space="0"/>
            </w:tcBorders>
            <w:vAlign w:val="center"/>
          </w:tcPr>
          <w:p w14:paraId="50C59E88">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评标价</w:t>
            </w:r>
            <w:r>
              <w:rPr>
                <w:rFonts w:hint="eastAsia" w:ascii="宋体" w:hAnsi="宋体" w:eastAsia="宋体" w:cs="宋体"/>
                <w:color w:val="auto"/>
                <w:kern w:val="2"/>
                <w:sz w:val="21"/>
                <w:szCs w:val="21"/>
                <w:highlight w:val="none"/>
                <w:lang w:val="en-US" w:eastAsia="zh-CN"/>
              </w:rPr>
              <w:t>相等时</w:t>
            </w:r>
            <w:r>
              <w:rPr>
                <w:rFonts w:hint="eastAsia" w:ascii="宋体" w:hAnsi="宋体" w:eastAsia="宋体" w:cs="宋体"/>
                <w:color w:val="auto"/>
                <w:kern w:val="2"/>
                <w:sz w:val="21"/>
                <w:szCs w:val="21"/>
                <w:highlight w:val="none"/>
                <w:lang w:val="en-US" w:eastAsia="zh-CN"/>
              </w:rPr>
              <w:t>，按照第一信封的排序规则和结果</w:t>
            </w:r>
            <w:r>
              <w:rPr>
                <w:rFonts w:hint="eastAsia" w:ascii="宋体" w:hAnsi="宋体" w:eastAsia="宋体" w:cs="宋体"/>
                <w:color w:val="auto"/>
                <w:kern w:val="2"/>
                <w:sz w:val="21"/>
                <w:szCs w:val="21"/>
                <w:highlight w:val="none"/>
                <w:lang w:val="en-US" w:eastAsia="zh-CN"/>
              </w:rPr>
              <w:t>推荐中标候选人</w:t>
            </w:r>
            <w:r>
              <w:rPr>
                <w:rFonts w:hint="eastAsia" w:ascii="宋体" w:hAnsi="宋体" w:eastAsia="宋体" w:cs="宋体"/>
                <w:color w:val="auto"/>
                <w:kern w:val="2"/>
                <w:sz w:val="21"/>
                <w:szCs w:val="21"/>
                <w:highlight w:val="none"/>
                <w:lang w:val="en-US" w:eastAsia="zh-CN"/>
              </w:rPr>
              <w:t>。</w:t>
            </w:r>
          </w:p>
        </w:tc>
      </w:tr>
      <w:tr w14:paraId="30FF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3E9BEA31">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52CE99A4">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565" w:type="dxa"/>
            <w:vAlign w:val="center"/>
          </w:tcPr>
          <w:p w14:paraId="7BD92C1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第一信封</w:t>
            </w:r>
          </w:p>
          <w:p w14:paraId="0A462B48">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73" w:type="dxa"/>
            <w:tcBorders>
              <w:right w:val="single" w:color="auto" w:sz="12" w:space="0"/>
            </w:tcBorders>
            <w:vAlign w:val="center"/>
          </w:tcPr>
          <w:p w14:paraId="6DD76058">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216E7128">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（1）</w:t>
            </w:r>
            <w:r>
              <w:rPr>
                <w:rStyle w:val="24"/>
                <w:rFonts w:hint="eastAsia" w:ascii="宋体" w:hAnsi="宋体" w:eastAsia="宋体" w:cs="宋体"/>
                <w:color w:val="auto"/>
                <w:sz w:val="21"/>
                <w:szCs w:val="21"/>
                <w:highlight w:val="none"/>
              </w:rPr>
              <w:t>投标文件按照招标文件规定的格式、内容填写，字迹清晰可辨：</w:t>
            </w:r>
          </w:p>
          <w:p w14:paraId="221A9704">
            <w:pPr>
              <w:pStyle w:val="23"/>
              <w:keepLines w:val="0"/>
              <w:pageBreakBefore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投标函按招标文件规定填报了项目名称、标段号、补遗书编号（如有)、</w:t>
            </w:r>
            <w:r>
              <w:rPr>
                <w:rStyle w:val="24"/>
                <w:rFonts w:hint="eastAsia" w:ascii="宋体" w:hAnsi="宋体" w:eastAsia="宋体" w:cs="宋体"/>
                <w:color w:val="auto"/>
                <w:sz w:val="21"/>
                <w:szCs w:val="21"/>
                <w:highlight w:val="none"/>
                <w:lang w:val="en-US"/>
              </w:rPr>
              <w:t>工期</w:t>
            </w:r>
            <w:r>
              <w:rPr>
                <w:rStyle w:val="24"/>
                <w:rFonts w:hint="eastAsia" w:ascii="宋体" w:hAnsi="宋体" w:eastAsia="宋体" w:cs="宋体"/>
                <w:color w:val="auto"/>
                <w:sz w:val="21"/>
                <w:szCs w:val="21"/>
                <w:highlight w:val="none"/>
              </w:rPr>
              <w:t>、工程质量要求及安全目标；</w:t>
            </w:r>
          </w:p>
          <w:p w14:paraId="00EADDC8">
            <w:pPr>
              <w:pStyle w:val="23"/>
              <w:keepLines w:val="0"/>
              <w:pageBreakBefore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投标函附录的所有数据均符合招标文件规定；</w:t>
            </w:r>
          </w:p>
          <w:p w14:paraId="6D9F767D">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投标文件组成齐全完整，内容均按规定填写。</w:t>
            </w:r>
          </w:p>
          <w:p w14:paraId="7068F74D">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w:t>
            </w:r>
            <w:r>
              <w:rPr>
                <w:rStyle w:val="24"/>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6C3A4620">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（3）投标人按照招标文件的规定提供了投标保证金：</w:t>
            </w:r>
          </w:p>
          <w:p w14:paraId="656A22A5">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a.投标保证金金额符合招标文件规定的金额，且投标保证金有效期不少于投标有效期；</w:t>
            </w:r>
          </w:p>
          <w:p w14:paraId="6A87F85A">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6BDA2478">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c.若投标保证金采用保函（</w:t>
            </w:r>
            <w:r>
              <w:rPr>
                <w:rStyle w:val="24"/>
                <w:rFonts w:hint="eastAsia" w:ascii="宋体" w:hAnsi="宋体" w:eastAsia="宋体" w:cs="宋体"/>
                <w:color w:val="auto"/>
                <w:sz w:val="21"/>
                <w:szCs w:val="21"/>
                <w:highlight w:val="none"/>
                <w:lang w:val="en-US"/>
              </w:rPr>
              <w:t>保单</w:t>
            </w:r>
            <w:r>
              <w:rPr>
                <w:rStyle w:val="24"/>
                <w:rFonts w:hint="eastAsia" w:ascii="宋体" w:hAnsi="宋体" w:eastAsia="宋体" w:cs="宋体"/>
                <w:color w:val="auto"/>
                <w:sz w:val="21"/>
                <w:szCs w:val="21"/>
                <w:highlight w:val="none"/>
              </w:rPr>
              <w:t>）形式提交，应满足</w:t>
            </w:r>
            <w:r>
              <w:rPr>
                <w:rStyle w:val="24"/>
                <w:rFonts w:hint="eastAsia" w:ascii="宋体" w:hAnsi="宋体" w:eastAsia="宋体" w:cs="宋体"/>
                <w:color w:val="auto"/>
                <w:sz w:val="21"/>
                <w:szCs w:val="21"/>
                <w:highlight w:val="none"/>
                <w:lang w:val="en-US"/>
              </w:rPr>
              <w:t>招标文件</w:t>
            </w:r>
            <w:r>
              <w:rPr>
                <w:rStyle w:val="24"/>
                <w:rFonts w:hint="eastAsia" w:ascii="宋体" w:hAnsi="宋体" w:eastAsia="宋体" w:cs="宋体"/>
                <w:color w:val="auto"/>
                <w:sz w:val="21"/>
                <w:szCs w:val="21"/>
                <w:highlight w:val="none"/>
              </w:rPr>
              <w:t>要求。</w:t>
            </w:r>
          </w:p>
          <w:p w14:paraId="119504A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78D0A0F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w:t>
            </w:r>
          </w:p>
          <w:p w14:paraId="507EE3E7">
            <w:pPr>
              <w:keepLines w:val="0"/>
              <w:pageBreakBefore w:val="0"/>
              <w:kinsoku/>
              <w:wordWrap/>
              <w:overflowPunct/>
              <w:topLinePunct w:val="0"/>
              <w:bidi w:val="0"/>
              <w:spacing w:line="360" w:lineRule="exact"/>
              <w:ind w:firstLine="420" w:firstLineChars="200"/>
              <w:textAlignment w:val="auto"/>
              <w:rPr>
                <w:rStyle w:val="18"/>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投标人未以联合体形式投标</w:t>
            </w:r>
            <w:r>
              <w:rPr>
                <w:rFonts w:hint="eastAsia" w:ascii="宋体" w:hAnsi="宋体" w:eastAsia="宋体" w:cs="宋体"/>
                <w:color w:val="auto"/>
                <w:sz w:val="21"/>
                <w:szCs w:val="21"/>
                <w:highlight w:val="none"/>
              </w:rPr>
              <w:t>。</w:t>
            </w:r>
          </w:p>
          <w:p w14:paraId="113A6C7A">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08E5671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6D64783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投标文件中未出现有关投标报价的内容。</w:t>
            </w:r>
          </w:p>
          <w:p w14:paraId="2531773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t>投标文件载明的招标项目完成期限未超过招标文件规定的时限。</w:t>
            </w:r>
          </w:p>
          <w:p w14:paraId="051D19B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t>投标文件对招标文件的实质性要求和条件作出响应。</w:t>
            </w:r>
          </w:p>
          <w:p w14:paraId="5A8993B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权利义务符合招标文件规定：</w:t>
            </w:r>
          </w:p>
          <w:p w14:paraId="1536E3BC">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投标人应接受招标文件规定的风险划分原则，未提出新的风险划分办法；</w:t>
            </w:r>
          </w:p>
          <w:p w14:paraId="0A259B5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投标人未增加发包人的责任范围，或减少投标人义务；</w:t>
            </w:r>
          </w:p>
          <w:p w14:paraId="2536864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投标人未提出不同的工程验收、计量、支付办法；</w:t>
            </w:r>
          </w:p>
          <w:p w14:paraId="73351739">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rPr>
              <w:t>投标人对合同纠纷、事故处理办法未提出异议；</w:t>
            </w:r>
          </w:p>
          <w:p w14:paraId="66450A01">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rPr>
              <w:t>投标人在投标活动中无欺诈行为；</w:t>
            </w:r>
          </w:p>
          <w:p w14:paraId="153CC3EB">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rPr>
              <w:t>投标人未对合同条款有重要保留。</w:t>
            </w:r>
          </w:p>
          <w:p w14:paraId="00EF7F7A">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p>
        </w:tc>
      </w:tr>
      <w:tr w14:paraId="0C8C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0A9B756D">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565" w:type="dxa"/>
            <w:vAlign w:val="center"/>
          </w:tcPr>
          <w:p w14:paraId="6D04A3EE">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9A63A71">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73" w:type="dxa"/>
            <w:tcBorders>
              <w:right w:val="single" w:color="auto" w:sz="12" w:space="0"/>
            </w:tcBorders>
            <w:vAlign w:val="center"/>
          </w:tcPr>
          <w:p w14:paraId="18DA7CDD">
            <w:pPr>
              <w:keepLines w:val="0"/>
              <w:pageBreakBefore w:val="0"/>
              <w:tabs>
                <w:tab w:val="left" w:pos="0"/>
              </w:tabs>
              <w:kinsoku/>
              <w:wordWrap/>
              <w:overflowPunct/>
              <w:topLinePunct w:val="0"/>
              <w:bidi w:val="0"/>
              <w:adjustRightInd w:val="0"/>
              <w:snapToGrid w:val="0"/>
              <w:spacing w:before="24" w:beforeLines="10" w:after="24" w:afterLines="10"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25BDE09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投标文件按照招标文件规定的格式、内容填写，字迹清晰可</w:t>
            </w:r>
            <w:r>
              <w:rPr>
                <w:rFonts w:hint="eastAsia" w:ascii="宋体" w:hAnsi="宋体" w:eastAsia="宋体" w:cs="宋体"/>
                <w:color w:val="auto"/>
                <w:sz w:val="21"/>
                <w:szCs w:val="21"/>
                <w:highlight w:val="none"/>
              </w:rPr>
              <w:t>辨：</w:t>
            </w:r>
          </w:p>
          <w:p w14:paraId="3FEA8A61">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投标函按招标文件规定填报了项目名称、标段号、补遗书编号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、投标价（包括大写金额和小写金额)；</w:t>
            </w:r>
          </w:p>
          <w:p w14:paraId="07977B43">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已标价工程量清单说明文字与招标文件规定一致，未进行实质性修改和删减；</w:t>
            </w:r>
          </w:p>
          <w:p w14:paraId="68A386C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374E633B">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0AC878F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投标报价未超过招标文件设定的最高投标限价。</w:t>
            </w:r>
          </w:p>
          <w:p w14:paraId="7888E14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投标报价中报价的大写能够确定具体数值。</w:t>
            </w:r>
          </w:p>
          <w:p w14:paraId="603FDD6F">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同一投标人未提交两个以上不同的投标报价，但招标文件要求提交备选投标的除外。</w:t>
            </w:r>
          </w:p>
          <w:p w14:paraId="5FE0D5AC">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rPr>
              <w:t>提交调价函。</w:t>
            </w:r>
          </w:p>
          <w:p w14:paraId="2D4C284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投标人未对工程量清单中的内容进行修改。</w:t>
            </w:r>
          </w:p>
        </w:tc>
      </w:tr>
      <w:tr w14:paraId="5CA6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08AC8145">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565" w:type="dxa"/>
            <w:vAlign w:val="center"/>
          </w:tcPr>
          <w:p w14:paraId="5DD8EAB9">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73" w:type="dxa"/>
            <w:tcBorders>
              <w:right w:val="single" w:color="auto" w:sz="12" w:space="0"/>
            </w:tcBorders>
            <w:vAlign w:val="center"/>
          </w:tcPr>
          <w:p w14:paraId="33F941D7">
            <w:pPr>
              <w:pStyle w:val="25"/>
              <w:keepLines w:val="0"/>
              <w:pageBreakBefore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w:t>
            </w:r>
            <w:r>
              <w:rPr>
                <w:rFonts w:hint="eastAsia" w:ascii="宋体" w:hAnsi="宋体" w:eastAsia="宋体" w:cs="宋体"/>
                <w:color w:val="auto"/>
                <w:sz w:val="21"/>
                <w:szCs w:val="21"/>
                <w:highlight w:val="none"/>
                <w:lang w:bidi="en-US"/>
              </w:rPr>
              <w:t>1）</w:t>
            </w:r>
            <w:r>
              <w:rPr>
                <w:rFonts w:hint="eastAsia" w:ascii="宋体" w:hAnsi="宋体" w:eastAsia="宋体" w:cs="宋体"/>
                <w:color w:val="auto"/>
                <w:sz w:val="21"/>
                <w:szCs w:val="21"/>
                <w:highlight w:val="none"/>
              </w:rPr>
              <w:t>投标人具备有效的营业执照、基本账户开户</w:t>
            </w:r>
            <w:r>
              <w:rPr>
                <w:rFonts w:hint="eastAsia" w:ascii="宋体" w:hAnsi="宋体" w:eastAsia="宋体" w:cs="宋体"/>
                <w:color w:val="auto"/>
                <w:sz w:val="21"/>
                <w:szCs w:val="21"/>
                <w:highlight w:val="none"/>
              </w:rPr>
              <w:t>证明材料</w:t>
            </w:r>
            <w:r>
              <w:rPr>
                <w:rFonts w:hint="eastAsia" w:ascii="宋体" w:hAnsi="宋体" w:eastAsia="宋体" w:cs="宋体"/>
                <w:color w:val="auto"/>
                <w:sz w:val="21"/>
                <w:szCs w:val="21"/>
                <w:highlight w:val="none"/>
              </w:rPr>
              <w:t>；</w:t>
            </w:r>
          </w:p>
          <w:p w14:paraId="533731DE">
            <w:pPr>
              <w:pStyle w:val="25"/>
              <w:keepLines w:val="0"/>
              <w:pageBreakBefore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（2</w:t>
            </w:r>
            <w:r>
              <w:rPr>
                <w:rFonts w:hint="eastAsia" w:ascii="宋体" w:hAnsi="宋体" w:eastAsia="宋体" w:cs="宋体"/>
                <w:color w:val="auto"/>
                <w:sz w:val="21"/>
                <w:szCs w:val="21"/>
                <w:highlight w:val="none"/>
                <w:lang w:bidi="en-US"/>
              </w:rPr>
              <w:t>）</w:t>
            </w:r>
            <w:r>
              <w:rPr>
                <w:rFonts w:hint="eastAsia" w:ascii="宋体" w:hAnsi="宋体" w:eastAsia="宋体" w:cs="宋体"/>
                <w:color w:val="auto"/>
                <w:sz w:val="21"/>
                <w:szCs w:val="21"/>
                <w:highlight w:val="none"/>
              </w:rPr>
              <w:t>投标人的资质等级符合招标文件规定；</w:t>
            </w:r>
          </w:p>
          <w:p w14:paraId="7721CAF7">
            <w:pPr>
              <w:pStyle w:val="25"/>
              <w:keepLines w:val="0"/>
              <w:pageBreakBefore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（3）</w:t>
            </w:r>
            <w:r>
              <w:rPr>
                <w:rFonts w:hint="eastAsia" w:ascii="宋体" w:hAnsi="宋体" w:eastAsia="宋体" w:cs="宋体"/>
                <w:color w:val="auto"/>
                <w:sz w:val="21"/>
                <w:szCs w:val="21"/>
                <w:highlight w:val="none"/>
              </w:rPr>
              <w:t>投标人的财务状况符合招标文件规定；</w:t>
            </w:r>
          </w:p>
          <w:p w14:paraId="18D9E84D">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投标人的类似项目业绩符合招标文件规定；</w:t>
            </w:r>
          </w:p>
          <w:p w14:paraId="31EB0A74">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投标人的信誉符合招标文件规定；</w:t>
            </w:r>
          </w:p>
          <w:p w14:paraId="571C0338">
            <w:pPr>
              <w:pStyle w:val="23"/>
              <w:keepLines w:val="0"/>
              <w:pageBreakBefore w:val="0"/>
              <w:shd w:val="clear" w:color="auto" w:fill="auto"/>
              <w:tabs>
                <w:tab w:val="left" w:pos="1068"/>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（6）</w:t>
            </w:r>
            <w:r>
              <w:rPr>
                <w:rStyle w:val="24"/>
                <w:rFonts w:hint="eastAsia" w:ascii="宋体" w:hAnsi="宋体" w:eastAsia="宋体" w:cs="宋体"/>
                <w:color w:val="auto"/>
                <w:sz w:val="21"/>
                <w:szCs w:val="21"/>
                <w:highlight w:val="none"/>
              </w:rPr>
              <w:t>投标人的</w:t>
            </w:r>
            <w:r>
              <w:rPr>
                <w:rStyle w:val="24"/>
                <w:rFonts w:hint="eastAsia" w:ascii="宋体" w:hAnsi="宋体" w:eastAsia="宋体" w:cs="宋体"/>
                <w:color w:val="auto"/>
                <w:sz w:val="21"/>
                <w:szCs w:val="21"/>
                <w:highlight w:val="none"/>
                <w:lang w:val="en-US"/>
              </w:rPr>
              <w:t>项目经理和项目总工</w:t>
            </w:r>
            <w:r>
              <w:rPr>
                <w:rStyle w:val="24"/>
                <w:rFonts w:hint="eastAsia" w:ascii="宋体" w:hAnsi="宋体" w:eastAsia="宋体" w:cs="宋体"/>
                <w:color w:val="auto"/>
                <w:sz w:val="21"/>
                <w:szCs w:val="21"/>
                <w:highlight w:val="none"/>
              </w:rPr>
              <w:t>资格、在岗情况符合招标文件规定；</w:t>
            </w:r>
          </w:p>
          <w:p w14:paraId="59BA4D83">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投标人的</w:t>
            </w:r>
            <w:r>
              <w:rPr>
                <w:rFonts w:hint="eastAsia" w:ascii="宋体" w:hAnsi="宋体" w:eastAsia="宋体" w:cs="宋体"/>
                <w:color w:val="auto"/>
                <w:sz w:val="21"/>
                <w:szCs w:val="21"/>
                <w:highlight w:val="none"/>
                <w:lang w:val="en-US" w:eastAsia="zh-CN"/>
              </w:rPr>
              <w:t>其他要求</w:t>
            </w:r>
            <w:r>
              <w:rPr>
                <w:rFonts w:hint="eastAsia" w:ascii="宋体" w:hAnsi="宋体" w:eastAsia="宋体" w:cs="宋体"/>
                <w:color w:val="auto"/>
                <w:sz w:val="21"/>
                <w:szCs w:val="21"/>
                <w:highlight w:val="none"/>
              </w:rPr>
              <w:t>符合招标文件规定；</w:t>
            </w:r>
          </w:p>
          <w:p w14:paraId="53902028">
            <w:pPr>
              <w:pStyle w:val="23"/>
              <w:keepLines w:val="0"/>
              <w:pageBreakBefore w:val="0"/>
              <w:shd w:val="clear" w:color="auto" w:fill="auto"/>
              <w:tabs>
                <w:tab w:val="left" w:pos="1073"/>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shd w:val="clear" w:color="auto" w:fill="FFFFFF"/>
                <w:lang w:val="zh-CN" w:bidi="zh-CN"/>
              </w:rPr>
            </w:pPr>
            <w:r>
              <w:rPr>
                <w:rStyle w:val="24"/>
                <w:rFonts w:hint="eastAsia" w:ascii="宋体" w:hAnsi="宋体" w:eastAsia="宋体" w:cs="宋体"/>
                <w:color w:val="auto"/>
                <w:sz w:val="21"/>
                <w:szCs w:val="21"/>
                <w:highlight w:val="none"/>
              </w:rPr>
              <w:t>（</w:t>
            </w:r>
            <w:r>
              <w:rPr>
                <w:rStyle w:val="24"/>
                <w:rFonts w:hint="eastAsia" w:ascii="宋体" w:hAnsi="宋体" w:eastAsia="宋体" w:cs="宋体"/>
                <w:color w:val="auto"/>
                <w:sz w:val="21"/>
                <w:szCs w:val="21"/>
                <w:highlight w:val="none"/>
                <w:lang w:val="en-US"/>
              </w:rPr>
              <w:t>8</w:t>
            </w:r>
            <w:r>
              <w:rPr>
                <w:rStyle w:val="24"/>
                <w:rFonts w:hint="eastAsia" w:ascii="宋体" w:hAnsi="宋体" w:eastAsia="宋体" w:cs="宋体"/>
                <w:color w:val="auto"/>
                <w:sz w:val="21"/>
                <w:szCs w:val="21"/>
                <w:highlight w:val="none"/>
              </w:rPr>
              <w:t>）</w:t>
            </w:r>
            <w:r>
              <w:rPr>
                <w:rStyle w:val="24"/>
                <w:rFonts w:hint="eastAsia" w:ascii="宋体" w:hAnsi="宋体" w:eastAsia="宋体" w:cs="宋体"/>
                <w:color w:val="auto"/>
                <w:sz w:val="21"/>
                <w:szCs w:val="21"/>
                <w:highlight w:val="none"/>
              </w:rPr>
              <w:t>投标人不存在第二章“投标人须知”第1.4.3项或第1.4.4项规定的任何一种情形。</w:t>
            </w:r>
          </w:p>
        </w:tc>
      </w:tr>
      <w:tr w14:paraId="50D9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4AD40BC5">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565" w:type="dxa"/>
            <w:vAlign w:val="center"/>
          </w:tcPr>
          <w:p w14:paraId="5BD7CAD0">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50D6E1E">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64AB920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w:t>
            </w:r>
            <w:r>
              <w:rPr>
                <w:rFonts w:hint="eastAsia" w:ascii="宋体" w:hAnsi="宋体" w:eastAsia="宋体" w:cs="宋体"/>
                <w:color w:val="auto"/>
                <w:sz w:val="21"/>
                <w:szCs w:val="21"/>
                <w:highlight w:val="none"/>
                <w:lang w:val="zh-CN"/>
              </w:rPr>
              <w:t>100</w:t>
            </w:r>
            <w:r>
              <w:rPr>
                <w:rFonts w:hint="eastAsia" w:ascii="宋体" w:hAnsi="宋体" w:eastAsia="宋体" w:cs="宋体"/>
                <w:color w:val="auto"/>
                <w:sz w:val="21"/>
                <w:szCs w:val="21"/>
                <w:highlight w:val="none"/>
                <w:lang w:val="zh-CN"/>
              </w:rPr>
              <w:t>分）</w:t>
            </w:r>
          </w:p>
        </w:tc>
        <w:tc>
          <w:tcPr>
            <w:tcW w:w="7073" w:type="dxa"/>
            <w:tcBorders>
              <w:right w:val="single" w:color="auto" w:sz="12" w:space="0"/>
            </w:tcBorders>
            <w:vAlign w:val="center"/>
          </w:tcPr>
          <w:p w14:paraId="04943316">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养护组织方案</w:t>
            </w:r>
            <w:r>
              <w:rPr>
                <w:rFonts w:hint="eastAsia" w:ascii="宋体" w:hAnsi="宋体" w:eastAsia="宋体" w:cs="宋体"/>
                <w:color w:val="auto"/>
                <w:sz w:val="21"/>
                <w:szCs w:val="21"/>
                <w:highlight w:val="none"/>
              </w:rPr>
              <w:t>：40分；</w:t>
            </w:r>
          </w:p>
          <w:p w14:paraId="39D8ACE1">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04117B75">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t>因素：35分。</w:t>
            </w:r>
          </w:p>
        </w:tc>
      </w:tr>
      <w:tr w14:paraId="1A11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7F47B77">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zh-CN"/>
              </w:rPr>
              <w:t>3</w:t>
            </w:r>
          </w:p>
        </w:tc>
        <w:tc>
          <w:tcPr>
            <w:tcW w:w="1565" w:type="dxa"/>
            <w:vAlign w:val="center"/>
          </w:tcPr>
          <w:p w14:paraId="6A7E3822">
            <w:pPr>
              <w:keepLines w:val="0"/>
              <w:pageBreakBefore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73" w:type="dxa"/>
            <w:tcBorders>
              <w:right w:val="single" w:color="auto" w:sz="12" w:space="0"/>
            </w:tcBorders>
            <w:vAlign w:val="center"/>
          </w:tcPr>
          <w:p w14:paraId="143B8556">
            <w:pPr>
              <w:keepLines w:val="0"/>
              <w:pageBreakBefore w:val="0"/>
              <w:kinsoku/>
              <w:wordWrap/>
              <w:overflowPunct/>
              <w:topLinePunct w:val="0"/>
              <w:autoSpaceDE w:val="0"/>
              <w:autoSpaceDN w:val="0"/>
              <w:bidi w:val="0"/>
              <w:adjustRightInd w:val="0"/>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17D0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EB23B8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565" w:type="dxa"/>
            <w:tcBorders>
              <w:bottom w:val="single" w:color="auto" w:sz="12" w:space="0"/>
            </w:tcBorders>
            <w:vAlign w:val="center"/>
          </w:tcPr>
          <w:p w14:paraId="640ADBC5">
            <w:pPr>
              <w:keepLines w:val="0"/>
              <w:pageBreakBefore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73" w:type="dxa"/>
            <w:tcBorders>
              <w:bottom w:val="single" w:color="auto" w:sz="12" w:space="0"/>
              <w:right w:val="single" w:color="auto" w:sz="12" w:space="0"/>
            </w:tcBorders>
            <w:vAlign w:val="center"/>
          </w:tcPr>
          <w:p w14:paraId="42D38CEE">
            <w:pPr>
              <w:keepLines w:val="0"/>
              <w:pageBreakBefore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按照投标人的商务和技术得分由高到低排序，选择前</w:t>
            </w: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名通过详细评审。</w:t>
            </w:r>
          </w:p>
          <w:p w14:paraId="7444A561">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w:t>
            </w:r>
            <w:r>
              <w:rPr>
                <w:rFonts w:hint="eastAsia" w:ascii="宋体" w:hAnsi="宋体" w:eastAsia="宋体" w:cs="宋体"/>
                <w:color w:val="auto"/>
                <w:sz w:val="21"/>
                <w:szCs w:val="21"/>
                <w:highlight w:val="none"/>
              </w:rPr>
              <w:t>第一信封（商务及技术文件）综合评分</w:t>
            </w:r>
            <w:r>
              <w:rPr>
                <w:rFonts w:hint="eastAsia" w:ascii="宋体" w:hAnsi="宋体" w:eastAsia="宋体" w:cs="宋体"/>
                <w:color w:val="auto"/>
                <w:sz w:val="21"/>
                <w:szCs w:val="21"/>
                <w:highlight w:val="none"/>
              </w:rPr>
              <w:t>相等时，则按照以下</w:t>
            </w:r>
            <w:r>
              <w:rPr>
                <w:rFonts w:hint="eastAsia" w:ascii="宋体" w:hAnsi="宋体" w:eastAsia="宋体" w:cs="宋体"/>
                <w:color w:val="auto"/>
                <w:sz w:val="21"/>
                <w:szCs w:val="21"/>
                <w:highlight w:val="none"/>
                <w:lang w:val="en-US" w:eastAsia="zh-CN"/>
              </w:rPr>
              <w:t>优先顺序进行排序</w:t>
            </w:r>
            <w:r>
              <w:rPr>
                <w:rFonts w:hint="eastAsia" w:ascii="宋体" w:hAnsi="宋体" w:eastAsia="宋体" w:cs="宋体"/>
                <w:color w:val="auto"/>
                <w:sz w:val="21"/>
                <w:szCs w:val="21"/>
                <w:highlight w:val="none"/>
              </w:rPr>
              <w:t>：</w:t>
            </w:r>
          </w:p>
          <w:p w14:paraId="4E8AC8EF">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按信用评价得分较高者；</w:t>
            </w:r>
          </w:p>
          <w:p w14:paraId="6B391323">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主要人员</w:t>
            </w:r>
            <w:r>
              <w:rPr>
                <w:rFonts w:hint="eastAsia" w:ascii="宋体" w:hAnsi="宋体" w:eastAsia="宋体" w:cs="宋体"/>
                <w:color w:val="auto"/>
                <w:sz w:val="21"/>
                <w:szCs w:val="21"/>
                <w:highlight w:val="none"/>
              </w:rPr>
              <w:t>得分较高者；</w:t>
            </w:r>
          </w:p>
          <w:p w14:paraId="5C36BB0D">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养护组织方案</w:t>
            </w:r>
            <w:r>
              <w:rPr>
                <w:rFonts w:hint="eastAsia" w:ascii="宋体" w:hAnsi="宋体" w:eastAsia="宋体" w:cs="宋体"/>
                <w:color w:val="auto"/>
                <w:sz w:val="21"/>
                <w:szCs w:val="21"/>
                <w:highlight w:val="none"/>
              </w:rPr>
              <w:t>得分较高者；</w:t>
            </w:r>
          </w:p>
          <w:p w14:paraId="1C97F3A4">
            <w:pPr>
              <w:keepLines w:val="0"/>
              <w:pageBreakBefore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r>
              <w:rPr>
                <w:rFonts w:hint="eastAsia" w:ascii="宋体" w:hAnsi="宋体" w:eastAsia="宋体" w:cs="宋体"/>
                <w:color w:val="auto"/>
                <w:sz w:val="21"/>
                <w:szCs w:val="21"/>
                <w:highlight w:val="none"/>
              </w:rPr>
              <w:t>。</w:t>
            </w:r>
          </w:p>
        </w:tc>
      </w:tr>
    </w:tbl>
    <w:p w14:paraId="6CC31BA4">
      <w:pPr>
        <w:pStyle w:val="3"/>
        <w:keepLines w:val="0"/>
        <w:pageBreakBefore w:val="0"/>
        <w:kinsoku/>
        <w:wordWrap/>
        <w:overflowPunct/>
        <w:topLinePunct w:val="0"/>
        <w:bidi w:val="0"/>
        <w:spacing w:line="360" w:lineRule="exact"/>
        <w:ind w:left="0" w:leftChars="0" w:firstLine="0" w:firstLineChars="0"/>
        <w:textAlignment w:val="auto"/>
        <w:rPr>
          <w:rFonts w:hint="eastAsia" w:ascii="宋体" w:hAnsi="宋体" w:eastAsia="宋体" w:cs="宋体"/>
          <w:color w:val="auto"/>
          <w:sz w:val="21"/>
          <w:szCs w:val="21"/>
          <w:highlight w:val="none"/>
        </w:rPr>
      </w:pPr>
    </w:p>
    <w:tbl>
      <w:tblPr>
        <w:tblStyle w:val="9"/>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9"/>
        <w:gridCol w:w="995"/>
        <w:gridCol w:w="942"/>
        <w:gridCol w:w="2035"/>
        <w:gridCol w:w="688"/>
        <w:gridCol w:w="3819"/>
      </w:tblGrid>
      <w:tr w14:paraId="4AC1895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blHeader/>
          <w:jc w:val="center"/>
        </w:trPr>
        <w:tc>
          <w:tcPr>
            <w:tcW w:w="5689" w:type="dxa"/>
            <w:gridSpan w:val="5"/>
            <w:vAlign w:val="center"/>
          </w:tcPr>
          <w:p w14:paraId="3D135DB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评分因素与权重分值</w:t>
            </w:r>
            <w:r>
              <w:rPr>
                <w:rFonts w:hint="eastAsia" w:ascii="宋体" w:hAnsi="宋体" w:eastAsia="宋体" w:cs="宋体"/>
                <w:color w:val="auto"/>
                <w:sz w:val="21"/>
                <w:szCs w:val="21"/>
                <w:highlight w:val="none"/>
                <w:vertAlign w:val="superscript"/>
              </w:rPr>
              <w:footnoteReference w:id="4"/>
            </w:r>
          </w:p>
        </w:tc>
        <w:tc>
          <w:tcPr>
            <w:tcW w:w="3819" w:type="dxa"/>
            <w:vMerge w:val="restart"/>
            <w:vAlign w:val="center"/>
          </w:tcPr>
          <w:p w14:paraId="200DC57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1833CEB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blHeader/>
          <w:jc w:val="center"/>
        </w:trPr>
        <w:tc>
          <w:tcPr>
            <w:tcW w:w="1029" w:type="dxa"/>
            <w:vAlign w:val="center"/>
          </w:tcPr>
          <w:p w14:paraId="169BAB0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995" w:type="dxa"/>
            <w:vAlign w:val="center"/>
          </w:tcPr>
          <w:p w14:paraId="2D89320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因素</w:t>
            </w:r>
          </w:p>
        </w:tc>
        <w:tc>
          <w:tcPr>
            <w:tcW w:w="942" w:type="dxa"/>
            <w:vAlign w:val="center"/>
          </w:tcPr>
          <w:p w14:paraId="3FA6987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权重分值</w:t>
            </w:r>
          </w:p>
        </w:tc>
        <w:tc>
          <w:tcPr>
            <w:tcW w:w="2035" w:type="dxa"/>
            <w:vAlign w:val="center"/>
          </w:tcPr>
          <w:p w14:paraId="62432E0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各评分因素细分项</w:t>
            </w:r>
          </w:p>
        </w:tc>
        <w:tc>
          <w:tcPr>
            <w:tcW w:w="688" w:type="dxa"/>
            <w:vAlign w:val="center"/>
          </w:tcPr>
          <w:p w14:paraId="0A9F71E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3819" w:type="dxa"/>
            <w:vMerge w:val="continue"/>
            <w:vAlign w:val="center"/>
          </w:tcPr>
          <w:p w14:paraId="4E29256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2D09F9F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restart"/>
            <w:vAlign w:val="center"/>
          </w:tcPr>
          <w:p w14:paraId="116EDAF0">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（1）</w:t>
            </w:r>
          </w:p>
        </w:tc>
        <w:tc>
          <w:tcPr>
            <w:tcW w:w="995" w:type="dxa"/>
            <w:vMerge w:val="restart"/>
            <w:vAlign w:val="center"/>
          </w:tcPr>
          <w:p w14:paraId="71156DA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养护组织方案</w:t>
            </w:r>
          </w:p>
        </w:tc>
        <w:tc>
          <w:tcPr>
            <w:tcW w:w="942" w:type="dxa"/>
            <w:vMerge w:val="restart"/>
            <w:vAlign w:val="center"/>
          </w:tcPr>
          <w:p w14:paraId="564AA67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t>分</w:t>
            </w:r>
          </w:p>
        </w:tc>
        <w:tc>
          <w:tcPr>
            <w:tcW w:w="2035" w:type="dxa"/>
            <w:vAlign w:val="center"/>
          </w:tcPr>
          <w:p w14:paraId="05F7CA76">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w:t>
            </w:r>
            <w:r>
              <w:rPr>
                <w:rFonts w:hint="eastAsia" w:ascii="宋体" w:hAnsi="宋体" w:eastAsia="宋体" w:cs="宋体"/>
                <w:color w:val="auto"/>
                <w:sz w:val="21"/>
                <w:szCs w:val="21"/>
                <w:highlight w:val="none"/>
                <w:lang w:val="en-US" w:eastAsia="zh-CN"/>
              </w:rPr>
              <w:t>养护</w:t>
            </w:r>
            <w:r>
              <w:rPr>
                <w:rFonts w:hint="eastAsia" w:ascii="宋体" w:hAnsi="宋体" w:eastAsia="宋体" w:cs="宋体"/>
                <w:color w:val="auto"/>
                <w:sz w:val="21"/>
                <w:szCs w:val="21"/>
                <w:highlight w:val="none"/>
              </w:rPr>
              <w:t>组织布置及规划</w:t>
            </w:r>
          </w:p>
        </w:tc>
        <w:tc>
          <w:tcPr>
            <w:tcW w:w="688" w:type="dxa"/>
            <w:vAlign w:val="center"/>
          </w:tcPr>
          <w:p w14:paraId="40D8D083">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3819" w:type="dxa"/>
            <w:vAlign w:val="center"/>
          </w:tcPr>
          <w:p w14:paraId="6F55658C">
            <w:pPr>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FFFFFF"/>
              </w:rPr>
              <w:t>按招标文件要求编制总体布置及规划</w:t>
            </w:r>
            <w:r>
              <w:rPr>
                <w:rFonts w:hint="eastAsia" w:ascii="宋体" w:hAnsi="宋体" w:eastAsia="宋体" w:cs="宋体"/>
                <w:color w:val="auto"/>
                <w:kern w:val="0"/>
                <w:sz w:val="21"/>
                <w:szCs w:val="21"/>
                <w:highlight w:val="none"/>
              </w:rPr>
              <w:t>得6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0分，</w:t>
            </w:r>
            <w:r>
              <w:rPr>
                <w:rFonts w:hint="eastAsia" w:ascii="宋体" w:hAnsi="宋体" w:eastAsia="宋体" w:cs="宋体"/>
                <w:color w:val="auto"/>
                <w:sz w:val="21"/>
                <w:szCs w:val="21"/>
                <w:highlight w:val="none"/>
                <w:shd w:val="clear" w:color="auto" w:fill="FFFFFF"/>
              </w:rPr>
              <w:t>内容全面、科学合理、可操作性强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酌情加分，最高加4.0分。</w:t>
            </w:r>
          </w:p>
        </w:tc>
      </w:tr>
      <w:tr w14:paraId="7D8BB31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0CE540B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1038AF9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3323451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Align w:val="center"/>
          </w:tcPr>
          <w:p w14:paraId="506C71F9">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w:t>
            </w:r>
            <w:r>
              <w:rPr>
                <w:rFonts w:hint="eastAsia" w:ascii="宋体" w:hAnsi="宋体" w:eastAsia="宋体" w:cs="宋体"/>
                <w:bCs/>
                <w:color w:val="auto"/>
                <w:sz w:val="21"/>
                <w:szCs w:val="21"/>
                <w:highlight w:val="none"/>
                <w:lang w:val="en-US" w:eastAsia="zh-CN"/>
              </w:rPr>
              <w:t>养护</w:t>
            </w:r>
            <w:r>
              <w:rPr>
                <w:rFonts w:hint="eastAsia" w:ascii="宋体" w:hAnsi="宋体" w:eastAsia="宋体" w:cs="宋体"/>
                <w:bCs/>
                <w:color w:val="auto"/>
                <w:sz w:val="21"/>
                <w:szCs w:val="21"/>
                <w:highlight w:val="none"/>
                <w:lang w:val="zh-CN"/>
              </w:rPr>
              <w:t>项目的</w:t>
            </w:r>
            <w:r>
              <w:rPr>
                <w:rFonts w:hint="eastAsia" w:ascii="宋体" w:hAnsi="宋体" w:eastAsia="宋体" w:cs="宋体"/>
                <w:bCs/>
                <w:color w:val="auto"/>
                <w:sz w:val="21"/>
                <w:szCs w:val="21"/>
                <w:highlight w:val="none"/>
                <w:lang w:val="en-US" w:eastAsia="zh-CN"/>
              </w:rPr>
              <w:t>养护</w:t>
            </w:r>
            <w:r>
              <w:rPr>
                <w:rFonts w:hint="eastAsia" w:ascii="宋体" w:hAnsi="宋体" w:eastAsia="宋体" w:cs="宋体"/>
                <w:bCs/>
                <w:color w:val="auto"/>
                <w:sz w:val="21"/>
                <w:szCs w:val="21"/>
                <w:highlight w:val="none"/>
                <w:lang w:val="zh-CN"/>
              </w:rPr>
              <w:t>方案、方法与技术措施</w:t>
            </w:r>
          </w:p>
        </w:tc>
        <w:tc>
          <w:tcPr>
            <w:tcW w:w="688" w:type="dxa"/>
            <w:vAlign w:val="center"/>
          </w:tcPr>
          <w:p w14:paraId="6F3D41F1">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3819" w:type="dxa"/>
            <w:vAlign w:val="center"/>
          </w:tcPr>
          <w:p w14:paraId="0EE3AC93">
            <w:pPr>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FFFFFF"/>
              </w:rPr>
              <w:t>按招标文件要求编制主要</w:t>
            </w:r>
            <w:r>
              <w:rPr>
                <w:rFonts w:hint="eastAsia" w:ascii="宋体" w:hAnsi="宋体" w:eastAsia="宋体" w:cs="宋体"/>
                <w:color w:val="auto"/>
                <w:sz w:val="21"/>
                <w:szCs w:val="21"/>
                <w:highlight w:val="none"/>
                <w:shd w:val="clear" w:color="auto" w:fill="FFFFFF"/>
                <w:lang w:val="en-US" w:eastAsia="zh-CN"/>
              </w:rPr>
              <w:t>养护</w:t>
            </w:r>
            <w:r>
              <w:rPr>
                <w:rFonts w:hint="eastAsia" w:ascii="宋体" w:hAnsi="宋体" w:eastAsia="宋体" w:cs="宋体"/>
                <w:color w:val="auto"/>
                <w:sz w:val="21"/>
                <w:szCs w:val="21"/>
                <w:highlight w:val="none"/>
                <w:shd w:val="clear" w:color="auto" w:fill="FFFFFF"/>
              </w:rPr>
              <w:t>项目的</w:t>
            </w:r>
            <w:r>
              <w:rPr>
                <w:rFonts w:hint="eastAsia" w:ascii="宋体" w:hAnsi="宋体" w:eastAsia="宋体" w:cs="宋体"/>
                <w:color w:val="auto"/>
                <w:sz w:val="21"/>
                <w:szCs w:val="21"/>
                <w:highlight w:val="none"/>
                <w:shd w:val="clear" w:color="auto" w:fill="FFFFFF"/>
                <w:lang w:val="en-US" w:eastAsia="zh-CN"/>
              </w:rPr>
              <w:t>养护</w:t>
            </w:r>
            <w:r>
              <w:rPr>
                <w:rFonts w:hint="eastAsia" w:ascii="宋体" w:hAnsi="宋体" w:eastAsia="宋体" w:cs="宋体"/>
                <w:color w:val="auto"/>
                <w:sz w:val="21"/>
                <w:szCs w:val="21"/>
                <w:highlight w:val="none"/>
                <w:shd w:val="clear" w:color="auto" w:fill="FFFFFF"/>
              </w:rPr>
              <w:t>方案、方法与技术措施</w:t>
            </w:r>
            <w:r>
              <w:rPr>
                <w:rFonts w:hint="eastAsia" w:ascii="宋体" w:hAnsi="宋体" w:eastAsia="宋体" w:cs="宋体"/>
                <w:color w:val="auto"/>
                <w:kern w:val="0"/>
                <w:sz w:val="21"/>
                <w:szCs w:val="21"/>
                <w:highlight w:val="none"/>
              </w:rPr>
              <w:t>得9</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0分，</w:t>
            </w:r>
            <w:r>
              <w:rPr>
                <w:rFonts w:hint="eastAsia" w:ascii="宋体" w:hAnsi="宋体" w:eastAsia="宋体" w:cs="宋体"/>
                <w:color w:val="auto"/>
                <w:sz w:val="21"/>
                <w:szCs w:val="21"/>
                <w:highlight w:val="none"/>
                <w:shd w:val="clear" w:color="auto" w:fill="FFFFFF"/>
              </w:rPr>
              <w:t>内容全面、科学合理、可操作性强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酌情加分，最高加6.0分。</w:t>
            </w:r>
          </w:p>
        </w:tc>
      </w:tr>
      <w:tr w14:paraId="3FC793C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091B0CAA">
            <w:pPr>
              <w:keepLines w:val="0"/>
              <w:pageBreakBefore w:val="0"/>
              <w:kinsoku/>
              <w:wordWrap/>
              <w:overflowPunct/>
              <w:topLinePunct w:val="0"/>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995" w:type="dxa"/>
            <w:vMerge w:val="continue"/>
            <w:vAlign w:val="center"/>
          </w:tcPr>
          <w:p w14:paraId="69F08E1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5156255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Align w:val="center"/>
          </w:tcPr>
          <w:p w14:paraId="3F10CFB3">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工期</w:t>
            </w:r>
            <w:r>
              <w:rPr>
                <w:rFonts w:hint="eastAsia" w:ascii="宋体" w:hAnsi="宋体" w:eastAsia="宋体" w:cs="宋体"/>
                <w:bCs/>
                <w:color w:val="auto"/>
                <w:sz w:val="21"/>
                <w:szCs w:val="21"/>
                <w:highlight w:val="none"/>
                <w:lang w:val="zh-CN"/>
              </w:rPr>
              <w:t>、质量、安全生产、文明施工等保证体系及措施</w:t>
            </w:r>
          </w:p>
        </w:tc>
        <w:tc>
          <w:tcPr>
            <w:tcW w:w="688" w:type="dxa"/>
            <w:vAlign w:val="center"/>
          </w:tcPr>
          <w:p w14:paraId="313365D4">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3819" w:type="dxa"/>
            <w:vAlign w:val="center"/>
          </w:tcPr>
          <w:p w14:paraId="3E4C0612">
            <w:pPr>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FFFFFF"/>
              </w:rPr>
              <w:t>按招标文件要求编制</w:t>
            </w:r>
            <w:r>
              <w:rPr>
                <w:rFonts w:hint="eastAsia" w:ascii="宋体" w:hAnsi="宋体" w:eastAsia="宋体" w:cs="宋体"/>
                <w:color w:val="auto"/>
                <w:sz w:val="21"/>
                <w:szCs w:val="21"/>
                <w:highlight w:val="none"/>
                <w:shd w:val="clear" w:color="auto" w:fill="FFFFFF"/>
                <w:lang w:val="en-US" w:eastAsia="zh-CN"/>
              </w:rPr>
              <w:t>工期</w:t>
            </w:r>
            <w:r>
              <w:rPr>
                <w:rFonts w:hint="eastAsia" w:ascii="宋体" w:hAnsi="宋体" w:eastAsia="宋体" w:cs="宋体"/>
                <w:color w:val="auto"/>
                <w:sz w:val="21"/>
                <w:szCs w:val="21"/>
                <w:highlight w:val="none"/>
                <w:shd w:val="clear" w:color="auto" w:fill="FFFFFF"/>
              </w:rPr>
              <w:t>、质量、安全生产、文明施工等保证体系及措施</w:t>
            </w:r>
            <w:r>
              <w:rPr>
                <w:rFonts w:hint="eastAsia" w:ascii="宋体" w:hAnsi="宋体" w:eastAsia="宋体" w:cs="宋体"/>
                <w:color w:val="auto"/>
                <w:kern w:val="0"/>
                <w:sz w:val="21"/>
                <w:szCs w:val="21"/>
                <w:highlight w:val="none"/>
              </w:rPr>
              <w:t>得6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0分，</w:t>
            </w:r>
            <w:r>
              <w:rPr>
                <w:rFonts w:hint="eastAsia" w:ascii="宋体" w:hAnsi="宋体" w:eastAsia="宋体" w:cs="宋体"/>
                <w:color w:val="auto"/>
                <w:sz w:val="21"/>
                <w:szCs w:val="21"/>
                <w:highlight w:val="none"/>
                <w:shd w:val="clear" w:color="auto" w:fill="FFFFFF"/>
              </w:rPr>
              <w:t>内容全面、科学合理、可操作性强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酌情加分，最高加4.0分。</w:t>
            </w:r>
          </w:p>
        </w:tc>
      </w:tr>
      <w:tr w14:paraId="075CE18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29" w:type="dxa"/>
            <w:vMerge w:val="continue"/>
            <w:vAlign w:val="center"/>
          </w:tcPr>
          <w:p w14:paraId="258277B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49EC1A6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2BDD71F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Align w:val="center"/>
          </w:tcPr>
          <w:p w14:paraId="46DC2B92">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688" w:type="dxa"/>
            <w:vAlign w:val="center"/>
          </w:tcPr>
          <w:p w14:paraId="0C4E3FCF">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3819" w:type="dxa"/>
          </w:tcPr>
          <w:p w14:paraId="3A3D8238">
            <w:pPr>
              <w:keepLines w:val="0"/>
              <w:pageBreakBefore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按招标文件要求编制事故应急预案</w:t>
            </w:r>
            <w:r>
              <w:rPr>
                <w:rFonts w:hint="eastAsia" w:ascii="宋体" w:hAnsi="宋体" w:eastAsia="宋体" w:cs="宋体"/>
                <w:color w:val="auto"/>
                <w:kern w:val="0"/>
                <w:sz w:val="21"/>
                <w:szCs w:val="21"/>
                <w:highlight w:val="none"/>
              </w:rPr>
              <w:t>得3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0分，</w:t>
            </w:r>
            <w:r>
              <w:rPr>
                <w:rFonts w:hint="eastAsia" w:ascii="宋体" w:hAnsi="宋体" w:eastAsia="宋体" w:cs="宋体"/>
                <w:color w:val="auto"/>
                <w:sz w:val="21"/>
                <w:szCs w:val="21"/>
                <w:highlight w:val="none"/>
                <w:shd w:val="clear" w:color="auto" w:fill="FFFFFF"/>
              </w:rPr>
              <w:t>内容全面、科学合理、可操作性强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酌情加分，最高加2.0分。</w:t>
            </w:r>
          </w:p>
        </w:tc>
      </w:tr>
      <w:tr w14:paraId="120A96A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29" w:type="dxa"/>
            <w:vMerge w:val="restart"/>
            <w:vAlign w:val="center"/>
          </w:tcPr>
          <w:p w14:paraId="6BE1A08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（2）</w:t>
            </w:r>
          </w:p>
        </w:tc>
        <w:tc>
          <w:tcPr>
            <w:tcW w:w="995" w:type="dxa"/>
            <w:vMerge w:val="restart"/>
            <w:vAlign w:val="center"/>
          </w:tcPr>
          <w:p w14:paraId="739A902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3AD0CAA5">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2" w:type="dxa"/>
            <w:vMerge w:val="restart"/>
            <w:vAlign w:val="center"/>
          </w:tcPr>
          <w:p w14:paraId="2A3D381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t>分</w:t>
            </w:r>
          </w:p>
        </w:tc>
        <w:tc>
          <w:tcPr>
            <w:tcW w:w="2035" w:type="dxa"/>
            <w:vAlign w:val="center"/>
          </w:tcPr>
          <w:p w14:paraId="15665F1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6CB8C25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688" w:type="dxa"/>
            <w:vAlign w:val="center"/>
          </w:tcPr>
          <w:p w14:paraId="1AD6CF2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3819" w:type="dxa"/>
            <w:vAlign w:val="center"/>
          </w:tcPr>
          <w:p w14:paraId="1F921060">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满足最低资格审查条件要</w:t>
            </w:r>
            <w:r>
              <w:rPr>
                <w:rFonts w:hint="eastAsia" w:ascii="宋体" w:hAnsi="宋体" w:eastAsia="宋体" w:cs="宋体"/>
                <w:color w:val="auto"/>
                <w:sz w:val="21"/>
                <w:szCs w:val="21"/>
                <w:highlight w:val="none"/>
              </w:rPr>
              <w:t>求</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9分</w:t>
            </w:r>
            <w:r>
              <w:rPr>
                <w:rFonts w:hint="eastAsia" w:ascii="宋体" w:hAnsi="宋体" w:eastAsia="宋体" w:cs="宋体"/>
                <w:color w:val="auto"/>
                <w:sz w:val="21"/>
                <w:szCs w:val="21"/>
                <w:highlight w:val="none"/>
              </w:rPr>
              <w:t>。</w:t>
            </w:r>
          </w:p>
          <w:p w14:paraId="20E785E2">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在满足最低要求的基础上，</w:t>
            </w:r>
            <w:r>
              <w:rPr>
                <w:rFonts w:hint="eastAsia" w:ascii="宋体" w:hAnsi="宋体" w:eastAsia="宋体" w:cs="宋体"/>
                <w:color w:val="auto"/>
                <w:sz w:val="21"/>
                <w:szCs w:val="21"/>
                <w:highlight w:val="none"/>
              </w:rPr>
              <w:t>每提供</w:t>
            </w:r>
            <w:r>
              <w:rPr>
                <w:rFonts w:hint="eastAsia" w:ascii="宋体" w:hAnsi="宋体" w:eastAsia="宋体" w:cs="宋体"/>
                <w:color w:val="auto"/>
                <w:sz w:val="21"/>
                <w:szCs w:val="21"/>
                <w:highlight w:val="none"/>
                <w:shd w:val="clear" w:color="auto" w:fill="FFFFFF"/>
              </w:rPr>
              <w:t>1项二级（含）以上公路</w:t>
            </w:r>
            <w:r>
              <w:rPr>
                <w:rFonts w:hint="eastAsia" w:ascii="宋体" w:hAnsi="宋体" w:eastAsia="宋体" w:cs="宋体"/>
                <w:color w:val="auto"/>
                <w:sz w:val="21"/>
                <w:szCs w:val="21"/>
                <w:highlight w:val="none"/>
              </w:rPr>
              <w:t>日常</w:t>
            </w:r>
            <w:r>
              <w:rPr>
                <w:rFonts w:hint="eastAsia" w:ascii="宋体" w:hAnsi="宋体" w:eastAsia="宋体" w:cs="宋体"/>
                <w:color w:val="auto"/>
                <w:sz w:val="21"/>
                <w:szCs w:val="21"/>
                <w:highlight w:val="none"/>
              </w:rPr>
              <w:t>养护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rPr>
              <w:t>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分，最多加</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分。</w:t>
            </w:r>
          </w:p>
        </w:tc>
      </w:tr>
      <w:tr w14:paraId="1EF3B28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29" w:type="dxa"/>
            <w:vMerge w:val="continue"/>
            <w:vAlign w:val="center"/>
          </w:tcPr>
          <w:p w14:paraId="3F5B15C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2E6B388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05EC674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Align w:val="center"/>
          </w:tcPr>
          <w:p w14:paraId="6D8604B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164B2AB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688" w:type="dxa"/>
            <w:vAlign w:val="center"/>
          </w:tcPr>
          <w:p w14:paraId="3C67FC1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10分</w:t>
            </w:r>
          </w:p>
        </w:tc>
        <w:tc>
          <w:tcPr>
            <w:tcW w:w="3819" w:type="dxa"/>
            <w:vAlign w:val="center"/>
          </w:tcPr>
          <w:p w14:paraId="171FF007">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满足最低资格审查条件要</w:t>
            </w:r>
            <w:r>
              <w:rPr>
                <w:rFonts w:hint="eastAsia" w:ascii="宋体" w:hAnsi="宋体" w:eastAsia="宋体" w:cs="宋体"/>
                <w:color w:val="auto"/>
                <w:sz w:val="21"/>
                <w:szCs w:val="21"/>
                <w:highlight w:val="none"/>
              </w:rPr>
              <w:t>求</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6分</w:t>
            </w:r>
            <w:r>
              <w:rPr>
                <w:rFonts w:hint="eastAsia" w:ascii="宋体" w:hAnsi="宋体" w:eastAsia="宋体" w:cs="宋体"/>
                <w:color w:val="auto"/>
                <w:sz w:val="21"/>
                <w:szCs w:val="21"/>
                <w:highlight w:val="none"/>
              </w:rPr>
              <w:t>。</w:t>
            </w:r>
          </w:p>
          <w:p w14:paraId="2D998597">
            <w:pPr>
              <w:keepLines w:val="0"/>
              <w:pageBreakBefore w:val="0"/>
              <w:kinsoku/>
              <w:wordWrap/>
              <w:overflowPunct/>
              <w:topLinePunct w:val="0"/>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在满足最低要求的基础上，</w:t>
            </w:r>
            <w:r>
              <w:rPr>
                <w:rFonts w:hint="eastAsia" w:ascii="宋体" w:hAnsi="宋体" w:eastAsia="宋体" w:cs="宋体"/>
                <w:color w:val="auto"/>
                <w:sz w:val="21"/>
                <w:szCs w:val="21"/>
                <w:highlight w:val="none"/>
              </w:rPr>
              <w:t>每提供</w:t>
            </w:r>
            <w:r>
              <w:rPr>
                <w:rFonts w:hint="eastAsia" w:ascii="宋体" w:hAnsi="宋体" w:eastAsia="宋体" w:cs="宋体"/>
                <w:color w:val="auto"/>
                <w:sz w:val="21"/>
                <w:szCs w:val="21"/>
                <w:highlight w:val="none"/>
                <w:shd w:val="clear" w:color="auto" w:fill="FFFFFF"/>
              </w:rPr>
              <w:t>1项二级（含）以上公路</w:t>
            </w:r>
            <w:r>
              <w:rPr>
                <w:rFonts w:hint="eastAsia" w:ascii="宋体" w:hAnsi="宋体" w:eastAsia="宋体" w:cs="宋体"/>
                <w:color w:val="auto"/>
                <w:sz w:val="21"/>
                <w:szCs w:val="21"/>
                <w:highlight w:val="none"/>
              </w:rPr>
              <w:t>日常</w:t>
            </w:r>
            <w:r>
              <w:rPr>
                <w:rFonts w:hint="eastAsia" w:ascii="宋体" w:hAnsi="宋体" w:eastAsia="宋体" w:cs="宋体"/>
                <w:color w:val="auto"/>
                <w:sz w:val="21"/>
                <w:szCs w:val="21"/>
                <w:highlight w:val="none"/>
              </w:rPr>
              <w:t>养护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rPr>
              <w:t>总工业绩</w:t>
            </w:r>
            <w:r>
              <w:rPr>
                <w:rFonts w:hint="eastAsia" w:ascii="宋体" w:hAnsi="宋体" w:eastAsia="宋体" w:cs="宋体"/>
                <w:color w:val="auto"/>
                <w:sz w:val="21"/>
                <w:szCs w:val="21"/>
                <w:highlight w:val="none"/>
              </w:rPr>
              <w:t>加</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分，最多加</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分。</w:t>
            </w:r>
          </w:p>
        </w:tc>
      </w:tr>
      <w:tr w14:paraId="514709E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1029" w:type="dxa"/>
            <w:vMerge w:val="restart"/>
            <w:vAlign w:val="center"/>
          </w:tcPr>
          <w:p w14:paraId="7127A79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995" w:type="dxa"/>
            <w:vMerge w:val="restart"/>
            <w:vAlign w:val="center"/>
          </w:tcPr>
          <w:p w14:paraId="5957EBA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rPr>
              <w:t>他因素</w:t>
            </w:r>
          </w:p>
        </w:tc>
        <w:tc>
          <w:tcPr>
            <w:tcW w:w="942" w:type="dxa"/>
            <w:vMerge w:val="restart"/>
            <w:vAlign w:val="center"/>
          </w:tcPr>
          <w:p w14:paraId="28ECD49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2035" w:type="dxa"/>
            <w:vAlign w:val="center"/>
          </w:tcPr>
          <w:p w14:paraId="664C94E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w:t>
            </w:r>
            <w:r>
              <w:rPr>
                <w:rFonts w:hint="eastAsia" w:ascii="宋体" w:hAnsi="宋体" w:eastAsia="宋体" w:cs="宋体"/>
                <w:color w:val="auto"/>
                <w:sz w:val="21"/>
                <w:szCs w:val="21"/>
                <w:highlight w:val="none"/>
              </w:rPr>
              <w:t>绩</w:t>
            </w:r>
          </w:p>
        </w:tc>
        <w:tc>
          <w:tcPr>
            <w:tcW w:w="688" w:type="dxa"/>
            <w:vAlign w:val="center"/>
          </w:tcPr>
          <w:p w14:paraId="274708F5">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3819" w:type="dxa"/>
            <w:vAlign w:val="center"/>
          </w:tcPr>
          <w:p w14:paraId="2ED4A1C8">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投标人通过初步评审得12分。</w:t>
            </w:r>
          </w:p>
          <w:p w14:paraId="4F835202">
            <w:pPr>
              <w:keepLines w:val="0"/>
              <w:pageBreakBefore w:val="0"/>
              <w:kinsoku/>
              <w:wordWrap/>
              <w:overflowPunct/>
              <w:topLinePunct w:val="0"/>
              <w:bidi w:val="0"/>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shd w:val="clear" w:color="auto" w:fill="FFFFFF"/>
              </w:rPr>
              <w:t>（指在202</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年1月1日后交工的项目）完成过1项二级（含）以上公路</w:t>
            </w:r>
            <w:r>
              <w:rPr>
                <w:rFonts w:hint="eastAsia" w:ascii="宋体" w:hAnsi="宋体" w:eastAsia="宋体" w:cs="宋体"/>
                <w:color w:val="auto"/>
                <w:sz w:val="21"/>
                <w:szCs w:val="21"/>
                <w:highlight w:val="none"/>
              </w:rPr>
              <w:t>日常</w:t>
            </w:r>
            <w:r>
              <w:rPr>
                <w:rFonts w:hint="eastAsia" w:ascii="宋体" w:hAnsi="宋体" w:eastAsia="宋体" w:cs="宋体"/>
                <w:color w:val="auto"/>
                <w:sz w:val="21"/>
                <w:szCs w:val="21"/>
                <w:highlight w:val="none"/>
              </w:rPr>
              <w:t>养护</w:t>
            </w:r>
            <w:r>
              <w:rPr>
                <w:rFonts w:hint="eastAsia" w:ascii="宋体" w:hAnsi="宋体" w:eastAsia="宋体" w:cs="宋体"/>
                <w:color w:val="auto"/>
                <w:sz w:val="21"/>
                <w:szCs w:val="21"/>
                <w:highlight w:val="none"/>
                <w:shd w:val="clear" w:color="auto" w:fill="FFFFFF"/>
                <w:lang w:val="en-US" w:eastAsia="zh-CN"/>
              </w:rPr>
              <w:t>项目加4分，最多加8分。</w:t>
            </w:r>
          </w:p>
        </w:tc>
      </w:tr>
      <w:tr w14:paraId="4AE1A28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029" w:type="dxa"/>
            <w:vMerge w:val="continue"/>
            <w:vAlign w:val="center"/>
          </w:tcPr>
          <w:p w14:paraId="3D3DC1C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6E409B3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0D066BF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restart"/>
            <w:vAlign w:val="center"/>
          </w:tcPr>
          <w:p w14:paraId="6EC25BA7">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投标人的</w:t>
            </w:r>
          </w:p>
          <w:p w14:paraId="2D2FBA11">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信用评价等级</w:t>
            </w:r>
          </w:p>
        </w:tc>
        <w:tc>
          <w:tcPr>
            <w:tcW w:w="688" w:type="dxa"/>
            <w:tcBorders>
              <w:bottom w:val="single" w:color="auto" w:sz="4" w:space="0"/>
            </w:tcBorders>
            <w:vAlign w:val="center"/>
          </w:tcPr>
          <w:p w14:paraId="4204AD4D">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3819" w:type="dxa"/>
            <w:tcBorders>
              <w:bottom w:val="single" w:color="auto" w:sz="4" w:space="0"/>
            </w:tcBorders>
            <w:vAlign w:val="center"/>
          </w:tcPr>
          <w:p w14:paraId="1413A011">
            <w:pPr>
              <w:keepLines w:val="0"/>
              <w:pageBreakBefore w:val="0"/>
              <w:kinsoku/>
              <w:wordWrap/>
              <w:overflowPunct/>
              <w:topLinePunct w:val="0"/>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w:t>
            </w:r>
          </w:p>
        </w:tc>
      </w:tr>
      <w:tr w14:paraId="742F25B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vAlign w:val="center"/>
          </w:tcPr>
          <w:p w14:paraId="5B65F4A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0B301FC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782B23E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continue"/>
            <w:vAlign w:val="center"/>
          </w:tcPr>
          <w:p w14:paraId="6486E669">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88" w:type="dxa"/>
            <w:tcBorders>
              <w:top w:val="single" w:color="auto" w:sz="4" w:space="0"/>
            </w:tcBorders>
            <w:vAlign w:val="center"/>
          </w:tcPr>
          <w:p w14:paraId="1904469E">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3819" w:type="dxa"/>
            <w:tcBorders>
              <w:top w:val="single" w:color="auto" w:sz="4" w:space="0"/>
            </w:tcBorders>
            <w:vAlign w:val="center"/>
          </w:tcPr>
          <w:p w14:paraId="026E5D8D">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级。</w:t>
            </w:r>
          </w:p>
        </w:tc>
      </w:tr>
      <w:tr w14:paraId="1900476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vAlign w:val="center"/>
          </w:tcPr>
          <w:p w14:paraId="49B75940">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235CA9E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1617BA3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continue"/>
            <w:vAlign w:val="center"/>
          </w:tcPr>
          <w:p w14:paraId="2DB12D59">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88" w:type="dxa"/>
            <w:tcBorders>
              <w:top w:val="single" w:color="auto" w:sz="4" w:space="0"/>
            </w:tcBorders>
            <w:vAlign w:val="center"/>
          </w:tcPr>
          <w:p w14:paraId="27914236">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3819" w:type="dxa"/>
            <w:tcBorders>
              <w:top w:val="single" w:color="auto" w:sz="4" w:space="0"/>
            </w:tcBorders>
            <w:vAlign w:val="center"/>
          </w:tcPr>
          <w:p w14:paraId="556A81C7">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级。</w:t>
            </w:r>
          </w:p>
        </w:tc>
      </w:tr>
      <w:tr w14:paraId="03EA55B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vAlign w:val="center"/>
          </w:tcPr>
          <w:p w14:paraId="660EFE5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1509253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737E23A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continue"/>
            <w:vAlign w:val="center"/>
          </w:tcPr>
          <w:p w14:paraId="3950ED14">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88" w:type="dxa"/>
            <w:tcBorders>
              <w:top w:val="single" w:color="auto" w:sz="4" w:space="0"/>
            </w:tcBorders>
            <w:shd w:val="clear" w:color="auto" w:fill="auto"/>
            <w:vAlign w:val="center"/>
          </w:tcPr>
          <w:p w14:paraId="39D29B98">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819" w:type="dxa"/>
            <w:tcBorders>
              <w:top w:val="single" w:color="auto" w:sz="4" w:space="0"/>
            </w:tcBorders>
            <w:shd w:val="clear" w:color="auto" w:fill="auto"/>
            <w:vAlign w:val="center"/>
          </w:tcPr>
          <w:p w14:paraId="596E0CBF">
            <w:pPr>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信用评价C级。</w:t>
            </w:r>
          </w:p>
        </w:tc>
      </w:tr>
      <w:tr w14:paraId="3C2F017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29" w:type="dxa"/>
            <w:vMerge w:val="continue"/>
            <w:vAlign w:val="center"/>
          </w:tcPr>
          <w:p w14:paraId="6F54EEC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3E37521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62677D2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2035" w:type="dxa"/>
            <w:vMerge w:val="continue"/>
            <w:vAlign w:val="center"/>
          </w:tcPr>
          <w:p w14:paraId="5D7AA01E">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88" w:type="dxa"/>
            <w:tcBorders>
              <w:top w:val="single" w:color="auto" w:sz="4" w:space="0"/>
            </w:tcBorders>
            <w:vAlign w:val="center"/>
          </w:tcPr>
          <w:p w14:paraId="2B9254AD">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0分</w:t>
            </w:r>
          </w:p>
        </w:tc>
        <w:tc>
          <w:tcPr>
            <w:tcW w:w="3819" w:type="dxa"/>
            <w:tcBorders>
              <w:top w:val="single" w:color="auto" w:sz="4" w:space="0"/>
            </w:tcBorders>
            <w:vAlign w:val="center"/>
          </w:tcPr>
          <w:p w14:paraId="4DD5D29E">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eastAsia="zh-CN"/>
              </w:rPr>
              <w:t>。</w:t>
            </w:r>
          </w:p>
        </w:tc>
      </w:tr>
      <w:tr w14:paraId="4B2611D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1029" w:type="dxa"/>
            <w:vMerge w:val="continue"/>
            <w:vAlign w:val="center"/>
          </w:tcPr>
          <w:p w14:paraId="13F0E18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95" w:type="dxa"/>
            <w:vMerge w:val="continue"/>
            <w:vAlign w:val="center"/>
          </w:tcPr>
          <w:p w14:paraId="3DE7485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2" w:type="dxa"/>
            <w:vMerge w:val="continue"/>
            <w:vAlign w:val="center"/>
          </w:tcPr>
          <w:p w14:paraId="2D8E6D9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542" w:type="dxa"/>
            <w:gridSpan w:val="3"/>
            <w:tcBorders>
              <w:top w:val="single" w:color="auto" w:sz="4" w:space="0"/>
              <w:bottom w:val="single" w:color="auto" w:sz="4" w:space="0"/>
            </w:tcBorders>
            <w:vAlign w:val="center"/>
          </w:tcPr>
          <w:p w14:paraId="709D10F0">
            <w:pPr>
              <w:keepLines w:val="0"/>
              <w:pageBreakBefore w:val="0"/>
              <w:widowControl/>
              <w:shd w:val="clear" w:color="auto" w:fill="FFFFFF"/>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161DBED2">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1.采用《吉林省公路管理局202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年度普通干线公路</w:t>
            </w:r>
            <w:r>
              <w:rPr>
                <w:rFonts w:hint="eastAsia" w:ascii="宋体" w:hAnsi="宋体" w:eastAsia="宋体" w:cs="宋体"/>
                <w:color w:val="auto"/>
                <w:kern w:val="0"/>
                <w:sz w:val="21"/>
                <w:szCs w:val="21"/>
                <w:highlight w:val="none"/>
                <w:lang w:val="en-US" w:eastAsia="zh-CN"/>
              </w:rPr>
              <w:t>日常养护</w:t>
            </w:r>
            <w:r>
              <w:rPr>
                <w:rFonts w:hint="eastAsia" w:ascii="宋体" w:hAnsi="宋体" w:eastAsia="宋体" w:cs="宋体"/>
                <w:color w:val="auto"/>
                <w:kern w:val="0"/>
                <w:sz w:val="21"/>
                <w:szCs w:val="21"/>
                <w:highlight w:val="none"/>
              </w:rPr>
              <w:t>企业信用评价公告》中的投标人信用评价等级。</w:t>
            </w:r>
          </w:p>
          <w:p w14:paraId="10C9B2BB">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.采用《吉林省公路管理局202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年度普通干线公路</w:t>
            </w:r>
            <w:r>
              <w:rPr>
                <w:rFonts w:hint="eastAsia" w:ascii="宋体" w:hAnsi="宋体" w:eastAsia="宋体" w:cs="宋体"/>
                <w:color w:val="auto"/>
                <w:kern w:val="0"/>
                <w:sz w:val="21"/>
                <w:szCs w:val="21"/>
                <w:highlight w:val="none"/>
                <w:lang w:val="en-US" w:eastAsia="zh-CN"/>
              </w:rPr>
              <w:t>养护工程</w:t>
            </w:r>
            <w:r>
              <w:rPr>
                <w:rFonts w:hint="eastAsia" w:ascii="宋体" w:hAnsi="宋体" w:eastAsia="宋体" w:cs="宋体"/>
                <w:color w:val="auto"/>
                <w:kern w:val="0"/>
                <w:sz w:val="21"/>
                <w:szCs w:val="21"/>
                <w:highlight w:val="none"/>
              </w:rPr>
              <w:t>企业信用评价公告》中的投标人信用评价等级。</w:t>
            </w:r>
          </w:p>
          <w:p w14:paraId="584880A1">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3.采用</w:t>
            </w:r>
            <w:r>
              <w:rPr>
                <w:rFonts w:hint="eastAsia" w:ascii="宋体" w:hAnsi="宋体" w:eastAsia="宋体" w:cs="宋体"/>
                <w:color w:val="auto"/>
                <w:kern w:val="0"/>
                <w:sz w:val="21"/>
                <w:szCs w:val="21"/>
                <w:highlight w:val="none"/>
              </w:rPr>
              <w:t>交通运输部“全国公路建设市场监督管理系统</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全国公路从业单位信用评价结果”中投标人的202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年度</w:t>
            </w:r>
            <w:r>
              <w:rPr>
                <w:rFonts w:hint="eastAsia" w:ascii="宋体" w:hAnsi="宋体" w:eastAsia="宋体" w:cs="宋体"/>
                <w:color w:val="auto"/>
                <w:kern w:val="0"/>
                <w:sz w:val="21"/>
                <w:szCs w:val="21"/>
                <w:highlight w:val="none"/>
                <w:lang w:val="en-US" w:eastAsia="zh-CN"/>
              </w:rPr>
              <w:t>施工</w:t>
            </w:r>
            <w:r>
              <w:rPr>
                <w:rFonts w:hint="eastAsia" w:ascii="宋体" w:hAnsi="宋体" w:eastAsia="宋体" w:cs="宋体"/>
                <w:color w:val="auto"/>
                <w:kern w:val="0"/>
                <w:sz w:val="21"/>
                <w:szCs w:val="21"/>
                <w:highlight w:val="none"/>
              </w:rPr>
              <w:t>企业信用评价等级</w:t>
            </w:r>
            <w:r>
              <w:rPr>
                <w:rFonts w:hint="eastAsia" w:ascii="宋体" w:hAnsi="宋体" w:eastAsia="宋体" w:cs="宋体"/>
                <w:color w:val="auto"/>
                <w:kern w:val="0"/>
                <w:sz w:val="21"/>
                <w:szCs w:val="21"/>
                <w:highlight w:val="none"/>
                <w:lang w:eastAsia="zh-CN"/>
              </w:rPr>
              <w:t>。</w:t>
            </w:r>
          </w:p>
          <w:p w14:paraId="6BDD6AD9">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.企业无上述信用评价的，若未列入交通运输部“全国公路建设市场监督管理系统”中“不良信用记录”的，按A级对待，否则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p>
        </w:tc>
      </w:tr>
      <w:tr w14:paraId="64AB7C3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508" w:type="dxa"/>
            <w:gridSpan w:val="6"/>
            <w:vAlign w:val="center"/>
          </w:tcPr>
          <w:p w14:paraId="65D66867">
            <w:pPr>
              <w:keepLines w:val="0"/>
              <w:pageBreakBefore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投标文件的养护组织方案部分采用“暗标”形式，如果养护组织方案出现能识别投标人的内容，经评标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4360F9F3">
      <w:pPr>
        <w:keepLines w:val="0"/>
        <w:pageBreakBefore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5C44630F">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pacing w:val="52"/>
          <w:kern w:val="0"/>
          <w:sz w:val="21"/>
          <w:szCs w:val="21"/>
          <w:highlight w:val="none"/>
          <w:fitText w:val="840" w:id="864449859"/>
          <w:lang w:val="zh-CN" w:bidi="zh-CN"/>
        </w:rPr>
        <w:t>招标</w:t>
      </w:r>
      <w:r>
        <w:rPr>
          <w:rFonts w:hint="eastAsia" w:ascii="宋体" w:hAnsi="宋体" w:eastAsia="宋体" w:cs="宋体"/>
          <w:color w:val="auto"/>
          <w:spacing w:val="1"/>
          <w:kern w:val="0"/>
          <w:sz w:val="21"/>
          <w:szCs w:val="21"/>
          <w:highlight w:val="none"/>
          <w:fitText w:val="840" w:id="864449859"/>
          <w:lang w:val="zh-CN" w:bidi="zh-CN"/>
        </w:rPr>
        <w:t>人</w:t>
      </w:r>
      <w:r>
        <w:rPr>
          <w:rFonts w:hint="eastAsia" w:ascii="宋体" w:hAnsi="宋体" w:eastAsia="宋体" w:cs="宋体"/>
          <w:color w:val="auto"/>
          <w:kern w:val="0"/>
          <w:sz w:val="21"/>
          <w:szCs w:val="21"/>
          <w:highlight w:val="none"/>
          <w:lang w:val="zh-CN" w:bidi="zh-CN"/>
        </w:rPr>
        <w:t>：长春市公路管理处</w:t>
      </w:r>
    </w:p>
    <w:p w14:paraId="27AFD726">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pacing w:val="210"/>
          <w:kern w:val="0"/>
          <w:sz w:val="21"/>
          <w:szCs w:val="21"/>
          <w:highlight w:val="none"/>
          <w:fitText w:val="840" w:id="2133015492"/>
          <w:lang w:val="zh-CN" w:bidi="zh-CN"/>
        </w:rPr>
        <w:t>地</w:t>
      </w:r>
      <w:r>
        <w:rPr>
          <w:rFonts w:hint="eastAsia" w:ascii="宋体" w:hAnsi="宋体" w:eastAsia="宋体" w:cs="宋体"/>
          <w:color w:val="auto"/>
          <w:spacing w:val="0"/>
          <w:kern w:val="0"/>
          <w:sz w:val="21"/>
          <w:szCs w:val="21"/>
          <w:highlight w:val="none"/>
          <w:fitText w:val="840" w:id="2133015492"/>
          <w:lang w:val="zh-CN" w:bidi="zh-CN"/>
        </w:rPr>
        <w:t>址</w:t>
      </w:r>
      <w:r>
        <w:rPr>
          <w:rFonts w:hint="eastAsia" w:ascii="宋体" w:hAnsi="宋体" w:eastAsia="宋体" w:cs="宋体"/>
          <w:color w:val="auto"/>
          <w:kern w:val="0"/>
          <w:sz w:val="21"/>
          <w:szCs w:val="21"/>
          <w:highlight w:val="none"/>
          <w:lang w:val="zh-CN" w:bidi="zh-CN"/>
        </w:rPr>
        <w:t>：长春市南关区民康路1242号</w:t>
      </w:r>
    </w:p>
    <w:p w14:paraId="61B45718">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pacing w:val="52"/>
          <w:kern w:val="0"/>
          <w:sz w:val="21"/>
          <w:szCs w:val="21"/>
          <w:highlight w:val="none"/>
          <w:fitText w:val="840" w:id="895119658"/>
          <w:lang w:val="zh-CN" w:bidi="zh-CN"/>
        </w:rPr>
        <w:t>联系</w:t>
      </w:r>
      <w:r>
        <w:rPr>
          <w:rFonts w:hint="eastAsia" w:ascii="宋体" w:hAnsi="宋体" w:eastAsia="宋体" w:cs="宋体"/>
          <w:color w:val="auto"/>
          <w:spacing w:val="1"/>
          <w:kern w:val="0"/>
          <w:sz w:val="21"/>
          <w:szCs w:val="21"/>
          <w:highlight w:val="none"/>
          <w:fitText w:val="840" w:id="895119658"/>
          <w:lang w:val="zh-CN" w:bidi="zh-CN"/>
        </w:rPr>
        <w:t>人</w:t>
      </w:r>
      <w:r>
        <w:rPr>
          <w:rFonts w:hint="eastAsia" w:ascii="宋体" w:hAnsi="宋体" w:eastAsia="宋体" w:cs="宋体"/>
          <w:color w:val="auto"/>
          <w:kern w:val="0"/>
          <w:sz w:val="21"/>
          <w:szCs w:val="21"/>
          <w:highlight w:val="none"/>
          <w:lang w:val="zh-CN" w:bidi="zh-CN"/>
        </w:rPr>
        <w:t>：宋徉</w:t>
      </w:r>
    </w:p>
    <w:p w14:paraId="0D592FC9">
      <w:pPr>
        <w:keepLines w:val="0"/>
        <w:pageBreakBefore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sz w:val="21"/>
          <w:szCs w:val="21"/>
        </w:rPr>
      </w:pPr>
      <w:r>
        <w:rPr>
          <w:rFonts w:hint="eastAsia" w:ascii="宋体" w:hAnsi="宋体" w:eastAsia="宋体" w:cs="宋体"/>
          <w:color w:val="auto"/>
          <w:spacing w:val="210"/>
          <w:kern w:val="0"/>
          <w:sz w:val="21"/>
          <w:szCs w:val="21"/>
          <w:highlight w:val="none"/>
          <w:fitText w:val="840" w:id="2029415919"/>
          <w:lang w:val="zh-CN" w:bidi="zh-CN"/>
        </w:rPr>
        <w:t>电</w:t>
      </w:r>
      <w:r>
        <w:rPr>
          <w:rFonts w:hint="eastAsia" w:ascii="宋体" w:hAnsi="宋体" w:eastAsia="宋体" w:cs="宋体"/>
          <w:color w:val="auto"/>
          <w:spacing w:val="0"/>
          <w:kern w:val="0"/>
          <w:sz w:val="21"/>
          <w:szCs w:val="21"/>
          <w:highlight w:val="none"/>
          <w:fitText w:val="840" w:id="2029415919"/>
          <w:lang w:val="zh-CN" w:bidi="zh-CN"/>
        </w:rPr>
        <w:t>话</w:t>
      </w:r>
      <w:r>
        <w:rPr>
          <w:rFonts w:hint="eastAsia" w:ascii="宋体" w:hAnsi="宋体" w:eastAsia="宋体" w:cs="宋体"/>
          <w:color w:val="auto"/>
          <w:kern w:val="0"/>
          <w:sz w:val="21"/>
          <w:szCs w:val="21"/>
          <w:highlight w:val="none"/>
          <w:lang w:val="zh-CN" w:bidi="zh-CN"/>
        </w:rPr>
        <w:t>：0431-88692537</w:t>
      </w:r>
      <w:bookmarkStart w:id="17" w:name="_GoBack"/>
      <w:bookmarkEnd w:id="17"/>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超粗黑简体">
    <w:altName w:val="黑体"/>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1C7DD6E">
      <w:pPr>
        <w:pStyle w:val="8"/>
      </w:pPr>
      <w:r>
        <w:rPr>
          <w:rStyle w:val="11"/>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4DF71DBE">
      <w:pPr>
        <w:rPr>
          <w:sz w:val="18"/>
          <w:szCs w:val="18"/>
        </w:rPr>
      </w:pPr>
      <w:r>
        <w:rPr>
          <w:rStyle w:val="11"/>
        </w:rPr>
        <w:footnoteRef/>
      </w:r>
      <w:r>
        <w:rPr>
          <w:rFonts w:hint="eastAsia" w:ascii="宋体" w:hAnsi="宋体" w:cs="宋体"/>
          <w:kern w:val="0"/>
          <w:sz w:val="18"/>
          <w:szCs w:val="18"/>
          <w:lang w:val="zh-CN"/>
        </w:rPr>
        <w:t>本表所列人员不得互相兼职。</w:t>
      </w:r>
    </w:p>
  </w:footnote>
  <w:footnote w:id="2">
    <w:p w14:paraId="0EED692D">
      <w:pPr>
        <w:pStyle w:val="8"/>
      </w:pPr>
      <w:r>
        <w:rPr>
          <w:rStyle w:val="11"/>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 xml:space="preserve"> 指</w:t>
      </w:r>
      <w:r>
        <w:t>社保缴费证明中</w:t>
      </w:r>
      <w:r>
        <w:rPr>
          <w:rFonts w:hint="eastAsia" w:ascii="宋体" w:hAnsi="宋体"/>
        </w:rPr>
        <w:t>缴费单位与投标人名称一致</w:t>
      </w:r>
      <w:r>
        <w:rPr>
          <w:rFonts w:hint="eastAsia" w:ascii="BatangChe" w:hAnsi="BatangChe"/>
          <w:spacing w:val="-6"/>
        </w:rPr>
        <w:t>。</w:t>
      </w:r>
    </w:p>
  </w:footnote>
  <w:footnote w:id="3">
    <w:p w14:paraId="7D0EC246">
      <w:pPr>
        <w:pStyle w:val="8"/>
      </w:pPr>
      <w:r>
        <w:rPr>
          <w:rStyle w:val="11"/>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58F32E38">
      <w:pPr>
        <w:pStyle w:val="8"/>
        <w:jc w:val="both"/>
        <w:rPr>
          <w:rFonts w:ascii="宋体" w:hAnsi="宋体"/>
        </w:rPr>
      </w:pPr>
      <w:r>
        <w:rPr>
          <w:rStyle w:val="11"/>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27170727"/>
    <w:rsid w:val="4C4832FE"/>
    <w:rsid w:val="5C5A3AFA"/>
    <w:rsid w:val="6623322B"/>
    <w:rsid w:val="7C983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link w:val="26"/>
    <w:qFormat/>
    <w:uiPriority w:val="99"/>
    <w:pPr>
      <w:ind w:firstLine="1120" w:firstLineChars="400"/>
    </w:pPr>
    <w:rPr>
      <w:rFonts w:ascii="Times New Roman" w:hAnsi="Times New Roman" w:eastAsia="宋体" w:cs="Times New Roman"/>
      <w:sz w:val="28"/>
      <w:szCs w:val="24"/>
    </w:rPr>
  </w:style>
  <w:style w:type="paragraph" w:styleId="4">
    <w:name w:val="Body Text Indent 2"/>
    <w:basedOn w:val="1"/>
    <w:link w:val="27"/>
    <w:semiHidden/>
    <w:unhideWhenUsed/>
    <w:qFormat/>
    <w:uiPriority w:val="99"/>
    <w:pPr>
      <w:spacing w:after="120" w:line="480" w:lineRule="auto"/>
      <w:ind w:left="420" w:leftChars="200"/>
    </w:pPr>
  </w:style>
  <w:style w:type="paragraph" w:styleId="5">
    <w:name w:val="Plain Text"/>
    <w:basedOn w:val="1"/>
    <w:link w:val="28"/>
    <w:qFormat/>
    <w:uiPriority w:val="99"/>
    <w:rPr>
      <w:rFonts w:ascii="宋体" w:hAnsi="Courier New" w:eastAsia="宋体" w:cs="Times New Roman"/>
      <w:szCs w:val="21"/>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4"/>
    <w:autoRedefine/>
    <w:unhideWhenUsed/>
    <w:qFormat/>
    <w:uiPriority w:val="0"/>
    <w:pPr>
      <w:snapToGrid w:val="0"/>
      <w:jc w:val="left"/>
    </w:pPr>
    <w:rPr>
      <w:rFonts w:ascii="Times New Roman" w:hAnsi="Times New Roman" w:eastAsia="宋体" w:cs="Times New Roman"/>
      <w:kern w:val="0"/>
      <w:sz w:val="18"/>
      <w:szCs w:val="18"/>
    </w:rPr>
  </w:style>
  <w:style w:type="character" w:styleId="11">
    <w:name w:val="footnote reference"/>
    <w:autoRedefine/>
    <w:qFormat/>
    <w:uiPriority w:val="0"/>
    <w:rPr>
      <w:vertAlign w:val="superscript"/>
    </w:rPr>
  </w:style>
  <w:style w:type="character" w:customStyle="1" w:styleId="12">
    <w:name w:val="其他_"/>
    <w:link w:val="13"/>
    <w:qFormat/>
    <w:uiPriority w:val="0"/>
    <w:rPr>
      <w:rFonts w:ascii="宋体" w:hAnsi="宋体" w:cs="宋体"/>
      <w:shd w:val="clear" w:color="auto" w:fill="FFFFFF"/>
      <w:lang w:val="zh-CN" w:bidi="zh-CN"/>
    </w:rPr>
  </w:style>
  <w:style w:type="paragraph" w:customStyle="1" w:styleId="13">
    <w:name w:val="其他"/>
    <w:basedOn w:val="1"/>
    <w:link w:val="12"/>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4">
    <w:name w:val="脚注文本 字符"/>
    <w:basedOn w:val="10"/>
    <w:link w:val="8"/>
    <w:qFormat/>
    <w:uiPriority w:val="0"/>
    <w:rPr>
      <w:rFonts w:ascii="Times New Roman" w:hAnsi="Times New Roman" w:eastAsia="宋体" w:cs="Times New Roman"/>
      <w:kern w:val="0"/>
      <w:sz w:val="18"/>
      <w:szCs w:val="18"/>
    </w:rPr>
  </w:style>
  <w:style w:type="character" w:customStyle="1" w:styleId="15">
    <w:name w:val="正文文本 (2)_"/>
    <w:link w:val="16"/>
    <w:autoRedefine/>
    <w:qFormat/>
    <w:uiPriority w:val="0"/>
    <w:rPr>
      <w:rFonts w:ascii="宋体" w:hAnsi="宋体" w:cs="宋体"/>
      <w:sz w:val="22"/>
      <w:shd w:val="clear" w:color="auto" w:fill="FFFFFF"/>
    </w:rPr>
  </w:style>
  <w:style w:type="paragraph" w:customStyle="1" w:styleId="16">
    <w:name w:val="正文文本 (2)"/>
    <w:basedOn w:val="1"/>
    <w:link w:val="15"/>
    <w:autoRedefine/>
    <w:qFormat/>
    <w:uiPriority w:val="0"/>
    <w:pPr>
      <w:shd w:val="clear" w:color="auto" w:fill="FFFFFF"/>
      <w:spacing w:before="300" w:line="439" w:lineRule="exact"/>
      <w:jc w:val="distribute"/>
    </w:pPr>
    <w:rPr>
      <w:rFonts w:ascii="宋体" w:hAnsi="宋体" w:cs="宋体"/>
      <w:sz w:val="22"/>
    </w:rPr>
  </w:style>
  <w:style w:type="paragraph" w:styleId="17">
    <w:name w:val="List Paragraph"/>
    <w:basedOn w:val="1"/>
    <w:qFormat/>
    <w:uiPriority w:val="34"/>
    <w:pPr>
      <w:ind w:firstLine="420" w:firstLineChars="200"/>
    </w:pPr>
    <w:rPr>
      <w:rFonts w:ascii="Times New Roman" w:hAnsi="Times New Roman" w:eastAsia="宋体" w:cs="Times New Roman"/>
    </w:rPr>
  </w:style>
  <w:style w:type="character" w:customStyle="1" w:styleId="18">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9">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0">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1">
    <w:name w:val="页眉 字符"/>
    <w:basedOn w:val="10"/>
    <w:link w:val="7"/>
    <w:qFormat/>
    <w:uiPriority w:val="99"/>
    <w:rPr>
      <w:sz w:val="18"/>
      <w:szCs w:val="18"/>
    </w:rPr>
  </w:style>
  <w:style w:type="character" w:customStyle="1" w:styleId="22">
    <w:name w:val="页脚 字符"/>
    <w:basedOn w:val="10"/>
    <w:link w:val="6"/>
    <w:autoRedefine/>
    <w:qFormat/>
    <w:uiPriority w:val="99"/>
    <w:rPr>
      <w:sz w:val="18"/>
      <w:szCs w:val="18"/>
    </w:rPr>
  </w:style>
  <w:style w:type="paragraph" w:customStyle="1" w:styleId="23">
    <w:name w:val="MSG_EN_FONT_STYLE_NAME_TEMPLATE_ROLE_NUMBER MSG_EN_FONT_STYLE_NAME_BY_ROLE_TEXT 131"/>
    <w:basedOn w:val="1"/>
    <w:link w:val="29"/>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4">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5">
    <w:name w:val="MSG_EN_FONT_STYLE_NAME_TEMPLATE_ROLE_NUMBER MSG_EN_FONT_STYLE_NAME_BY_ROLE_TEXT 5"/>
    <w:basedOn w:val="1"/>
    <w:link w:val="30"/>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6">
    <w:name w:val="正文文本缩进 字符"/>
    <w:basedOn w:val="10"/>
    <w:link w:val="3"/>
    <w:qFormat/>
    <w:uiPriority w:val="99"/>
    <w:rPr>
      <w:rFonts w:ascii="Times New Roman" w:hAnsi="Times New Roman" w:eastAsia="宋体" w:cs="Times New Roman"/>
      <w:kern w:val="2"/>
      <w:sz w:val="28"/>
      <w:szCs w:val="24"/>
    </w:rPr>
  </w:style>
  <w:style w:type="character" w:customStyle="1" w:styleId="27">
    <w:name w:val="正文文本缩进 2 字符"/>
    <w:basedOn w:val="10"/>
    <w:link w:val="4"/>
    <w:semiHidden/>
    <w:qFormat/>
    <w:uiPriority w:val="99"/>
    <w:rPr>
      <w:kern w:val="2"/>
      <w:sz w:val="21"/>
      <w:szCs w:val="22"/>
    </w:rPr>
  </w:style>
  <w:style w:type="character" w:customStyle="1" w:styleId="28">
    <w:name w:val="纯文本 字符"/>
    <w:basedOn w:val="10"/>
    <w:link w:val="5"/>
    <w:qFormat/>
    <w:uiPriority w:val="99"/>
    <w:rPr>
      <w:rFonts w:ascii="宋体" w:hAnsi="Courier New" w:eastAsia="宋体" w:cs="Times New Roman"/>
      <w:kern w:val="2"/>
      <w:sz w:val="21"/>
      <w:szCs w:val="21"/>
    </w:rPr>
  </w:style>
  <w:style w:type="character" w:customStyle="1" w:styleId="29">
    <w:name w:val="MSG_EN_FONT_STYLE_NAME_TEMPLATE_ROLE_NUMBER MSG_EN_FONT_STYLE_NAME_BY_ROLE_TEXT 13_"/>
    <w:link w:val="23"/>
    <w:qFormat/>
    <w:uiPriority w:val="0"/>
    <w:rPr>
      <w:rFonts w:ascii="PMingLiU" w:hAnsi="PMingLiU" w:eastAsia="PMingLiU" w:cs="PMingLiU"/>
      <w:shd w:val="clear" w:color="auto" w:fill="FFFFFF"/>
    </w:rPr>
  </w:style>
  <w:style w:type="character" w:customStyle="1" w:styleId="30">
    <w:name w:val="MSG_EN_FONT_STYLE_NAME_TEMPLATE_ROLE_NUMBER MSG_EN_FONT_STYLE_NAME_BY_ROLE_TEXT 5_"/>
    <w:link w:val="25"/>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2851</Words>
  <Characters>3024</Characters>
  <Lines>39</Lines>
  <Paragraphs>11</Paragraphs>
  <TotalTime>0</TotalTime>
  <ScaleCrop>false</ScaleCrop>
  <LinksUpToDate>false</LinksUpToDate>
  <CharactersWithSpaces>3038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2026-04-15T06:44:46Z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