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68074">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长白山保护开发区2024年省道和天公路北景区换乘中心至天池段</w:t>
      </w:r>
    </w:p>
    <w:p w14:paraId="17A11A37">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安全提升工程</w:t>
      </w:r>
      <w:r>
        <w:rPr>
          <w:rFonts w:hint="eastAsia" w:ascii="宋体" w:hAnsi="宋体" w:eastAsia="宋体" w:cs="宋体"/>
          <w:b/>
          <w:sz w:val="21"/>
          <w:szCs w:val="21"/>
        </w:rPr>
        <w:t>施工</w:t>
      </w:r>
    </w:p>
    <w:p w14:paraId="2941CA4A">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招标文件公开内容</w:t>
      </w:r>
    </w:p>
    <w:p w14:paraId="5BFA3234">
      <w:pPr>
        <w:keepLines w:val="0"/>
        <w:pageBreakBefore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9"/>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37FA0510">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79489225">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02FA3DF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见附录1</w:t>
            </w:r>
          </w:p>
          <w:p w14:paraId="2DC2B6C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53952EC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236BDEFE">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488F4425">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79423E70">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4011E4AF">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 </w:instrText>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color w:val="auto"/>
                <w:sz w:val="21"/>
                <w:szCs w:val="21"/>
                <w:highlight w:val="none"/>
              </w:rPr>
              <w:t>不接受</w:t>
            </w:r>
          </w:p>
          <w:p w14:paraId="5D450B4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w:instrText>
            </w:r>
            <w:r>
              <w:rPr>
                <w:rFonts w:hint="eastAsia" w:ascii="宋体" w:hAnsi="宋体" w:eastAsia="宋体" w:cs="宋体"/>
                <w:color w:val="auto"/>
                <w:kern w:val="0"/>
                <w:sz w:val="21"/>
                <w:szCs w:val="21"/>
                <w:highlight w:val="none"/>
                <w:lang w:val="zh-CN"/>
              </w:rPr>
              <w:instrText xml:space="preserve">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7AE4FDFE">
            <w:pPr>
              <w:pStyle w:val="13"/>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501829B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4C1F69BD">
            <w:pPr>
              <w:pStyle w:val="13"/>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7ED9086A">
            <w:pPr>
              <w:pStyle w:val="13"/>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4E4E01B6">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0" w:name="_Toc152042310"/>
      <w:bookmarkStart w:id="1" w:name="_Toc179632551"/>
      <w:bookmarkStart w:id="2" w:name="_Toc144974502"/>
      <w:bookmarkStart w:id="3" w:name="_Toc502741808"/>
      <w:bookmarkStart w:id="4" w:name="_Toc152045534"/>
      <w:bookmarkStart w:id="5" w:name="_Hlk141167126"/>
      <w:bookmarkStart w:id="6" w:name="_Toc14854"/>
      <w:r>
        <w:rPr>
          <w:rFonts w:hint="eastAsia" w:ascii="宋体" w:hAnsi="宋体" w:eastAsia="宋体" w:cs="宋体"/>
          <w:color w:val="auto"/>
          <w:sz w:val="21"/>
          <w:szCs w:val="21"/>
          <w:highlight w:val="none"/>
        </w:rPr>
        <w:t>1.4投标人资格要求（适用于未进行资格预审的）</w:t>
      </w:r>
      <w:bookmarkEnd w:id="0"/>
      <w:bookmarkEnd w:id="1"/>
      <w:bookmarkEnd w:id="2"/>
      <w:bookmarkEnd w:id="3"/>
      <w:bookmarkEnd w:id="4"/>
    </w:p>
    <w:p w14:paraId="77DD55EB">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338752C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07FC4BA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21FF2D96">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588DB2DE">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472B666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1964AD26">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26447C91">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60FF5437">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207EEFFA">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208ED449">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600756A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A309512">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w:t>
      </w:r>
      <w:r>
        <w:rPr>
          <w:rFonts w:hint="eastAsia" w:ascii="宋体" w:hAnsi="宋体" w:eastAsia="宋体" w:cs="宋体"/>
          <w:color w:val="auto"/>
          <w:sz w:val="21"/>
          <w:szCs w:val="21"/>
          <w:highlight w:val="none"/>
        </w:rPr>
        <w:t>已</w:t>
      </w:r>
      <w:r>
        <w:rPr>
          <w:rFonts w:hint="eastAsia" w:ascii="宋体" w:hAnsi="宋体" w:eastAsia="宋体" w:cs="宋体"/>
          <w:color w:val="auto"/>
          <w:sz w:val="21"/>
          <w:szCs w:val="21"/>
          <w:highlight w:val="none"/>
        </w:rPr>
        <w:t>代表了联合体各成员的真实情况；</w:t>
      </w:r>
    </w:p>
    <w:p w14:paraId="21616C2F">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780CD98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368B1E0C">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7551C07D">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w:t>
      </w:r>
      <w:r>
        <w:rPr>
          <w:rFonts w:hint="eastAsia" w:ascii="宋体" w:hAnsi="宋体" w:eastAsia="宋体" w:cs="宋体"/>
          <w:color w:val="auto"/>
          <w:sz w:val="21"/>
          <w:szCs w:val="21"/>
          <w:highlight w:val="none"/>
        </w:rPr>
        <w:t>害</w:t>
      </w:r>
      <w:r>
        <w:rPr>
          <w:rFonts w:hint="eastAsia" w:ascii="宋体" w:hAnsi="宋体" w:eastAsia="宋体" w:cs="宋体"/>
          <w:color w:val="auto"/>
          <w:sz w:val="21"/>
          <w:szCs w:val="21"/>
          <w:highlight w:val="none"/>
        </w:rPr>
        <w:t>关系且可能影响招标公正性；</w:t>
      </w:r>
    </w:p>
    <w:p w14:paraId="2FC981D2">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6DBAA3E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40144DC2">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030ECAD6">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74520DE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1B7CF00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41B6956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4930102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4B155DA1">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26C946E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3FE78348">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75639F6A">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5E2DAF99">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1B06B5E0">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中被列入严重违法失信企业名单；</w:t>
      </w:r>
    </w:p>
    <w:p w14:paraId="62D47E97">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中被列入失信被执行人名单；</w:t>
      </w:r>
    </w:p>
    <w:p w14:paraId="482B8B3B">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46D92D68">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501A18F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w:t>
      </w:r>
      <w:r>
        <w:rPr>
          <w:rFonts w:hint="eastAsia" w:ascii="宋体" w:hAnsi="宋体" w:eastAsia="宋体" w:cs="宋体"/>
          <w:color w:val="auto"/>
          <w:sz w:val="21"/>
          <w:szCs w:val="21"/>
          <w:highlight w:val="none"/>
        </w:rPr>
        <w:t>“全国公路建设市场监督管理系统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https://hwdms.mot.gov.cn）”</w:t>
      </w:r>
      <w:r>
        <w:rPr>
          <w:rFonts w:hint="eastAsia" w:ascii="宋体" w:hAnsi="宋体" w:eastAsia="宋体" w:cs="宋体"/>
          <w:color w:val="auto"/>
          <w:sz w:val="21"/>
          <w:szCs w:val="21"/>
          <w:highlight w:val="none"/>
        </w:rPr>
        <w:t>中的公路工程施工资质企业名录，且投标人名称和资质与该名录中的相应企业名称和资质完全一致。投标人不满足本项规定条件的，将被否决投标。</w:t>
      </w:r>
      <w:r>
        <w:rPr>
          <w:rStyle w:val="11"/>
          <w:rFonts w:hint="eastAsia" w:ascii="宋体" w:hAnsi="宋体" w:eastAsia="宋体" w:cs="宋体"/>
          <w:color w:val="auto"/>
          <w:sz w:val="21"/>
          <w:szCs w:val="21"/>
          <w:highlight w:val="none"/>
        </w:rPr>
        <w:footnoteReference w:id="0"/>
      </w:r>
    </w:p>
    <w:p w14:paraId="44112C8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p>
    <w:bookmarkEnd w:id="5"/>
    <w:bookmarkEnd w:id="6"/>
    <w:p w14:paraId="0CA1348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7" w:name="_Toc7841"/>
      <w:r>
        <w:rPr>
          <w:rFonts w:hint="eastAsia" w:ascii="宋体" w:hAnsi="宋体" w:eastAsia="宋体" w:cs="宋体"/>
          <w:b/>
          <w:color w:val="auto"/>
          <w:sz w:val="21"/>
          <w:szCs w:val="21"/>
          <w:highlight w:val="none"/>
        </w:rPr>
        <w:t>附录1 资格审查条件（资质最低要求）</w:t>
      </w:r>
      <w:bookmarkEnd w:id="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8219"/>
      </w:tblGrid>
      <w:tr w14:paraId="66D6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97" w:type="dxa"/>
            <w:tcBorders>
              <w:top w:val="single" w:color="auto" w:sz="12" w:space="0"/>
              <w:left w:val="single" w:color="auto" w:sz="12" w:space="0"/>
            </w:tcBorders>
            <w:vAlign w:val="center"/>
          </w:tcPr>
          <w:p w14:paraId="0F9FE94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219" w:type="dxa"/>
            <w:tcBorders>
              <w:top w:val="single" w:color="auto" w:sz="12" w:space="0"/>
              <w:right w:val="single" w:color="auto" w:sz="12" w:space="0"/>
            </w:tcBorders>
            <w:vAlign w:val="center"/>
          </w:tcPr>
          <w:p w14:paraId="66515D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557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97" w:type="dxa"/>
            <w:tcBorders>
              <w:left w:val="single" w:color="auto" w:sz="12" w:space="0"/>
              <w:bottom w:val="single" w:color="auto" w:sz="12" w:space="0"/>
            </w:tcBorders>
            <w:shd w:val="clear" w:color="auto" w:fill="auto"/>
            <w:vAlign w:val="center"/>
          </w:tcPr>
          <w:p w14:paraId="35AFB8A4">
            <w:pPr>
              <w:pStyle w:val="5"/>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CBS26JA01</w:t>
            </w:r>
          </w:p>
        </w:tc>
        <w:tc>
          <w:tcPr>
            <w:tcW w:w="8219" w:type="dxa"/>
            <w:tcBorders>
              <w:bottom w:val="single" w:color="auto" w:sz="12" w:space="0"/>
              <w:right w:val="single" w:color="auto" w:sz="12" w:space="0"/>
            </w:tcBorders>
            <w:shd w:val="clear" w:color="auto" w:fill="auto"/>
            <w:vAlign w:val="center"/>
          </w:tcPr>
          <w:p w14:paraId="2248C987">
            <w:pPr>
              <w:keepLines w:val="0"/>
              <w:kinsoku/>
              <w:wordWrap/>
              <w:overflowPunct/>
              <w:topLinePunct w:val="0"/>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交通运输主管部门颁发的交通安全设施养护资质</w:t>
            </w:r>
            <w:r>
              <w:rPr>
                <w:rFonts w:hint="eastAsia" w:ascii="宋体" w:hAnsi="宋体" w:eastAsia="宋体" w:cs="宋体"/>
                <w:sz w:val="21"/>
                <w:szCs w:val="21"/>
                <w:highlight w:val="none"/>
                <w:lang w:eastAsia="zh-CN"/>
              </w:rPr>
              <w:t>。</w:t>
            </w:r>
          </w:p>
        </w:tc>
      </w:tr>
    </w:tbl>
    <w:p w14:paraId="50AA2E30">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8" w:name="_Toc31233"/>
      <w:r>
        <w:rPr>
          <w:rFonts w:hint="eastAsia" w:ascii="宋体" w:hAnsi="宋体" w:eastAsia="宋体" w:cs="宋体"/>
          <w:b/>
          <w:color w:val="auto"/>
          <w:sz w:val="21"/>
          <w:szCs w:val="21"/>
          <w:highlight w:val="none"/>
        </w:rPr>
        <w:t>附录2 资格审查条件（财务最低要求）</w:t>
      </w:r>
      <w:bookmarkEnd w:id="8"/>
    </w:p>
    <w:tbl>
      <w:tblPr>
        <w:tblStyle w:val="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3B7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421F7B81">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5E8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37133A0C">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近三年具有良好的商业信誉和健全的财务会计制度</w:t>
            </w:r>
            <w:r>
              <w:rPr>
                <w:rFonts w:hint="eastAsia" w:ascii="宋体" w:hAnsi="宋体" w:eastAsia="宋体" w:cs="宋体"/>
                <w:sz w:val="21"/>
                <w:szCs w:val="21"/>
                <w:highlight w:val="none"/>
                <w:lang w:val="en-US" w:eastAsia="zh-CN"/>
              </w:rPr>
              <w:t>。</w:t>
            </w:r>
          </w:p>
        </w:tc>
      </w:tr>
    </w:tbl>
    <w:p w14:paraId="2422A01F">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31524"/>
      <w:r>
        <w:rPr>
          <w:rFonts w:hint="eastAsia" w:ascii="宋体" w:hAnsi="宋体" w:eastAsia="宋体" w:cs="宋体"/>
          <w:b/>
          <w:color w:val="auto"/>
          <w:sz w:val="21"/>
          <w:szCs w:val="21"/>
          <w:highlight w:val="none"/>
        </w:rPr>
        <w:t>附录3 资格审查条件（业绩最低要求）</w:t>
      </w:r>
      <w:bookmarkEnd w:id="9"/>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8235"/>
      </w:tblGrid>
      <w:tr w14:paraId="37B8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86" w:type="dxa"/>
            <w:tcBorders>
              <w:top w:val="single" w:color="auto" w:sz="12" w:space="0"/>
              <w:left w:val="single" w:color="auto" w:sz="12" w:space="0"/>
              <w:right w:val="single" w:color="auto" w:sz="4" w:space="0"/>
            </w:tcBorders>
            <w:vAlign w:val="center"/>
          </w:tcPr>
          <w:p w14:paraId="4BA9F469">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235" w:type="dxa"/>
            <w:tcBorders>
              <w:top w:val="single" w:color="auto" w:sz="12" w:space="0"/>
              <w:left w:val="single" w:color="auto" w:sz="4" w:space="0"/>
              <w:right w:val="single" w:color="auto" w:sz="12" w:space="0"/>
            </w:tcBorders>
            <w:vAlign w:val="center"/>
          </w:tcPr>
          <w:p w14:paraId="561F4700">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115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6" w:type="dxa"/>
            <w:tcBorders>
              <w:left w:val="single" w:color="auto" w:sz="12" w:space="0"/>
              <w:bottom w:val="single" w:color="auto" w:sz="12" w:space="0"/>
              <w:right w:val="single" w:color="auto" w:sz="4" w:space="0"/>
            </w:tcBorders>
            <w:vAlign w:val="center"/>
          </w:tcPr>
          <w:p w14:paraId="13A85779">
            <w:pPr>
              <w:pStyle w:val="5"/>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CBS26JA01</w:t>
            </w:r>
          </w:p>
        </w:tc>
        <w:tc>
          <w:tcPr>
            <w:tcW w:w="8235" w:type="dxa"/>
            <w:tcBorders>
              <w:left w:val="single" w:color="auto" w:sz="4" w:space="0"/>
              <w:bottom w:val="single" w:color="auto" w:sz="12" w:space="0"/>
              <w:right w:val="single" w:color="auto" w:sz="12" w:space="0"/>
            </w:tcBorders>
            <w:vAlign w:val="center"/>
          </w:tcPr>
          <w:p w14:paraId="011F3859">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2E79D091">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14564"/>
      <w:r>
        <w:rPr>
          <w:rFonts w:hint="eastAsia" w:ascii="宋体" w:hAnsi="宋体" w:eastAsia="宋体" w:cs="宋体"/>
          <w:b/>
          <w:color w:val="auto"/>
          <w:sz w:val="21"/>
          <w:szCs w:val="21"/>
          <w:highlight w:val="none"/>
        </w:rPr>
        <w:t>附录4 资格审查条件（信誉最低要求）</w:t>
      </w:r>
      <w:bookmarkEnd w:id="10"/>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1988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1" w:type="dxa"/>
            <w:tcBorders>
              <w:top w:val="single" w:color="auto" w:sz="12" w:space="0"/>
              <w:left w:val="single" w:color="auto" w:sz="12" w:space="0"/>
              <w:right w:val="single" w:color="auto" w:sz="12" w:space="0"/>
            </w:tcBorders>
            <w:vAlign w:val="center"/>
          </w:tcPr>
          <w:p w14:paraId="3085664E">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4C3D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21" w:type="dxa"/>
            <w:tcBorders>
              <w:left w:val="single" w:color="auto" w:sz="12" w:space="0"/>
              <w:bottom w:val="single" w:color="auto" w:sz="12" w:space="0"/>
              <w:right w:val="single" w:color="auto" w:sz="12" w:space="0"/>
            </w:tcBorders>
            <w:vAlign w:val="center"/>
          </w:tcPr>
          <w:p w14:paraId="06CFF1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tc>
      </w:tr>
    </w:tbl>
    <w:p w14:paraId="5C780492">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2902"/>
      <w:r>
        <w:rPr>
          <w:rFonts w:hint="eastAsia" w:ascii="宋体" w:hAnsi="宋体" w:eastAsia="宋体" w:cs="宋体"/>
          <w:b/>
          <w:color w:val="auto"/>
          <w:sz w:val="21"/>
          <w:szCs w:val="21"/>
          <w:highlight w:val="none"/>
        </w:rPr>
        <w:t>附录5 资格审查条件（项目经理和项目总工最低要求）</w:t>
      </w:r>
      <w:bookmarkEnd w:id="11"/>
    </w:p>
    <w:tbl>
      <w:tblPr>
        <w:tblStyle w:val="9"/>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39"/>
        <w:gridCol w:w="5751"/>
        <w:gridCol w:w="1381"/>
      </w:tblGrid>
      <w:tr w14:paraId="2189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98" w:type="dxa"/>
            <w:tcBorders>
              <w:top w:val="single" w:color="auto" w:sz="12" w:space="0"/>
              <w:left w:val="single" w:color="auto" w:sz="12" w:space="0"/>
            </w:tcBorders>
            <w:vAlign w:val="center"/>
          </w:tcPr>
          <w:p w14:paraId="31D3CA8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239" w:type="dxa"/>
            <w:tcBorders>
              <w:top w:val="single" w:color="auto" w:sz="12" w:space="0"/>
              <w:right w:val="single" w:color="auto" w:sz="4" w:space="0"/>
            </w:tcBorders>
            <w:vAlign w:val="center"/>
          </w:tcPr>
          <w:p w14:paraId="1075EA9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5751" w:type="dxa"/>
            <w:tcBorders>
              <w:top w:val="single" w:color="auto" w:sz="12" w:space="0"/>
              <w:left w:val="single" w:color="auto" w:sz="4" w:space="0"/>
              <w:right w:val="single" w:color="auto" w:sz="4" w:space="0"/>
            </w:tcBorders>
            <w:vAlign w:val="center"/>
          </w:tcPr>
          <w:p w14:paraId="27EAF22B">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tcBorders>
              <w:top w:val="single" w:color="auto" w:sz="12" w:space="0"/>
              <w:left w:val="single" w:color="auto" w:sz="4" w:space="0"/>
              <w:right w:val="single" w:color="auto" w:sz="12" w:space="0"/>
            </w:tcBorders>
            <w:vAlign w:val="center"/>
          </w:tcPr>
          <w:p w14:paraId="5414BAD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6706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98" w:type="dxa"/>
            <w:tcBorders>
              <w:left w:val="single" w:color="auto" w:sz="12" w:space="0"/>
            </w:tcBorders>
            <w:vAlign w:val="center"/>
          </w:tcPr>
          <w:p w14:paraId="06887CF6">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tcBorders>
              <w:right w:val="single" w:color="auto" w:sz="4" w:space="0"/>
            </w:tcBorders>
            <w:vAlign w:val="center"/>
          </w:tcPr>
          <w:p w14:paraId="5BAC1ADB">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left w:val="single" w:color="auto" w:sz="4" w:space="0"/>
              <w:right w:val="single" w:color="auto" w:sz="4" w:space="0"/>
            </w:tcBorders>
            <w:vAlign w:val="center"/>
          </w:tcPr>
          <w:p w14:paraId="5929824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（1）投标</w:t>
            </w:r>
            <w:r>
              <w:rPr>
                <w:rFonts w:hint="eastAsia" w:ascii="宋体" w:hAnsi="宋体" w:eastAsia="宋体" w:cs="宋体"/>
                <w:b w:val="0"/>
                <w:bCs/>
                <w:color w:val="auto"/>
                <w:sz w:val="21"/>
                <w:szCs w:val="21"/>
                <w:highlight w:val="none"/>
              </w:rPr>
              <w:t>人</w:t>
            </w:r>
            <w:r>
              <w:rPr>
                <w:rFonts w:hint="eastAsia" w:ascii="宋体" w:hAnsi="宋体" w:eastAsia="宋体" w:cs="宋体"/>
                <w:b/>
                <w:bCs w:val="0"/>
                <w:color w:val="auto"/>
                <w:sz w:val="21"/>
                <w:szCs w:val="21"/>
                <w:highlight w:val="none"/>
              </w:rPr>
              <w:t>自有</w:t>
            </w:r>
            <w:r>
              <w:rPr>
                <w:rStyle w:val="11"/>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p>
          <w:p w14:paraId="78C844A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具有</w:t>
            </w:r>
            <w:r>
              <w:rPr>
                <w:rFonts w:hint="eastAsia" w:ascii="宋体" w:hAnsi="宋体" w:eastAsia="宋体" w:cs="宋体"/>
                <w:b w:val="0"/>
                <w:bCs/>
                <w:color w:val="auto"/>
                <w:sz w:val="21"/>
                <w:szCs w:val="21"/>
                <w:highlight w:val="none"/>
              </w:rPr>
              <w:t>公路工程相关专业</w:t>
            </w:r>
            <w:r>
              <w:rPr>
                <w:rStyle w:val="11"/>
                <w:rFonts w:hint="eastAsia" w:ascii="宋体" w:hAnsi="宋体" w:eastAsia="宋体" w:cs="宋体"/>
                <w:b w:val="0"/>
                <w:bCs/>
                <w:color w:val="auto"/>
                <w:sz w:val="21"/>
                <w:szCs w:val="21"/>
                <w:highlight w:val="none"/>
              </w:rPr>
              <w:footnoteReference w:id="3"/>
            </w:r>
            <w:r>
              <w:rPr>
                <w:rFonts w:hint="eastAsia" w:ascii="宋体" w:hAnsi="宋体" w:eastAsia="宋体" w:cs="宋体"/>
                <w:b/>
                <w:bCs w:val="0"/>
                <w:color w:val="auto"/>
                <w:sz w:val="21"/>
                <w:szCs w:val="21"/>
                <w:highlight w:val="none"/>
                <w:lang w:val="en-US" w:eastAsia="zh-CN"/>
              </w:rPr>
              <w:t>中级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b w:val="0"/>
                <w:bCs/>
                <w:color w:val="auto"/>
                <w:sz w:val="21"/>
                <w:szCs w:val="21"/>
                <w:highlight w:val="none"/>
              </w:rPr>
              <w:t>；</w:t>
            </w:r>
          </w:p>
          <w:p w14:paraId="4B8DFAB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5C80452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（4）具有交通运输主管部门颁发的有效的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vAlign w:val="center"/>
          </w:tcPr>
          <w:p w14:paraId="739C2EC0">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7C9D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98" w:type="dxa"/>
            <w:tcBorders>
              <w:left w:val="single" w:color="auto" w:sz="12" w:space="0"/>
              <w:bottom w:val="single" w:color="auto" w:sz="12" w:space="0"/>
            </w:tcBorders>
            <w:vAlign w:val="center"/>
          </w:tcPr>
          <w:p w14:paraId="4349E6C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tcBorders>
              <w:bottom w:val="single" w:color="auto" w:sz="12" w:space="0"/>
            </w:tcBorders>
            <w:vAlign w:val="center"/>
          </w:tcPr>
          <w:p w14:paraId="5BF6E86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bottom w:val="single" w:color="auto" w:sz="12" w:space="0"/>
              <w:right w:val="single" w:color="auto" w:sz="4" w:space="0"/>
            </w:tcBorders>
            <w:vAlign w:val="center"/>
          </w:tcPr>
          <w:p w14:paraId="4982BA38">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192454C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sz w:val="21"/>
                <w:szCs w:val="21"/>
                <w:highlight w:val="none"/>
              </w:rPr>
              <w:t>（2）具有公路工程相关专业</w:t>
            </w:r>
            <w:r>
              <w:rPr>
                <w:rFonts w:hint="eastAsia" w:ascii="宋体" w:hAnsi="宋体" w:eastAsia="宋体" w:cs="宋体"/>
                <w:b/>
                <w:bCs/>
                <w:sz w:val="21"/>
                <w:szCs w:val="21"/>
                <w:highlight w:val="none"/>
                <w:lang w:val="en-US" w:eastAsia="zh-CN"/>
              </w:rPr>
              <w:t>中级</w:t>
            </w:r>
            <w:r>
              <w:rPr>
                <w:rFonts w:hint="eastAsia" w:ascii="宋体" w:hAnsi="宋体" w:eastAsia="宋体" w:cs="宋体"/>
                <w:bCs/>
                <w:sz w:val="21"/>
                <w:szCs w:val="21"/>
                <w:highlight w:val="none"/>
              </w:rPr>
              <w:t>职称；</w:t>
            </w:r>
          </w:p>
        </w:tc>
        <w:tc>
          <w:tcPr>
            <w:tcW w:w="1381" w:type="dxa"/>
            <w:vMerge w:val="continue"/>
            <w:tcBorders>
              <w:left w:val="single" w:color="auto" w:sz="4" w:space="0"/>
              <w:bottom w:val="single" w:color="auto" w:sz="12" w:space="0"/>
              <w:right w:val="single" w:color="auto" w:sz="12" w:space="0"/>
            </w:tcBorders>
          </w:tcPr>
          <w:p w14:paraId="4A8708A2">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1D4651D2">
      <w:pPr>
        <w:keepLines w:val="0"/>
        <w:pageBreakBefore w:val="0"/>
        <w:kinsoku/>
        <w:wordWrap/>
        <w:overflowPunct/>
        <w:topLinePunct w:val="0"/>
        <w:bidi w:val="0"/>
        <w:spacing w:before="100" w:beforeAutospacing="1" w:line="360" w:lineRule="exact"/>
        <w:jc w:val="both"/>
        <w:textAlignment w:val="auto"/>
        <w:outlineLvl w:val="2"/>
        <w:rPr>
          <w:rFonts w:hint="eastAsia" w:ascii="宋体" w:hAnsi="宋体" w:eastAsia="宋体" w:cs="宋体"/>
          <w:b/>
          <w:bCs/>
          <w:sz w:val="21"/>
          <w:szCs w:val="21"/>
        </w:rPr>
      </w:pPr>
    </w:p>
    <w:p w14:paraId="7517830E">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53E135EE">
      <w:pPr>
        <w:keepLines w:val="0"/>
        <w:kinsoku/>
        <w:wordWrap/>
        <w:overflowPunct/>
        <w:topLinePunct w:val="0"/>
        <w:bidi w:val="0"/>
        <w:spacing w:line="360" w:lineRule="exact"/>
        <w:textAlignment w:val="auto"/>
        <w:outlineLvl w:val="1"/>
        <w:rPr>
          <w:rFonts w:hint="eastAsia" w:ascii="宋体" w:hAnsi="宋体" w:eastAsia="宋体" w:cs="宋体"/>
          <w:b/>
          <w:color w:val="auto"/>
          <w:sz w:val="21"/>
          <w:szCs w:val="21"/>
          <w:highlight w:val="none"/>
        </w:rPr>
      </w:pPr>
      <w:bookmarkStart w:id="12" w:name="_Toc520285006"/>
      <w:bookmarkStart w:id="13" w:name="_Toc505091277"/>
      <w:bookmarkStart w:id="14" w:name="_Toc19104"/>
      <w:r>
        <w:rPr>
          <w:rFonts w:hint="eastAsia" w:ascii="宋体" w:hAnsi="宋体" w:eastAsia="宋体" w:cs="宋体"/>
          <w:b/>
          <w:color w:val="auto"/>
          <w:sz w:val="21"/>
          <w:szCs w:val="21"/>
          <w:highlight w:val="none"/>
        </w:rPr>
        <w:t>评标办法前附表</w:t>
      </w:r>
      <w:bookmarkEnd w:id="12"/>
      <w:bookmarkEnd w:id="13"/>
      <w:bookmarkEnd w:id="14"/>
    </w:p>
    <w:tbl>
      <w:tblPr>
        <w:tblStyle w:val="9"/>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75E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2535" w:type="dxa"/>
            <w:gridSpan w:val="2"/>
            <w:tcBorders>
              <w:top w:val="single" w:color="auto" w:sz="12" w:space="0"/>
              <w:left w:val="single" w:color="auto" w:sz="12" w:space="0"/>
            </w:tcBorders>
            <w:vAlign w:val="center"/>
          </w:tcPr>
          <w:p w14:paraId="61E07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7002" w:type="dxa"/>
            <w:tcBorders>
              <w:top w:val="single" w:color="auto" w:sz="12" w:space="0"/>
              <w:right w:val="single" w:color="auto" w:sz="12" w:space="0"/>
            </w:tcBorders>
            <w:vAlign w:val="center"/>
          </w:tcPr>
          <w:p w14:paraId="2A069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评审因素与标准</w:t>
            </w:r>
          </w:p>
        </w:tc>
      </w:tr>
      <w:tr w14:paraId="6623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1693E2F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15D8F59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2646D5BB">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w:t>
            </w:r>
            <w:r>
              <w:rPr>
                <w:rFonts w:hint="eastAsia" w:ascii="宋体" w:hAnsi="宋体" w:eastAsia="宋体" w:cs="宋体"/>
                <w:color w:val="auto"/>
                <w:kern w:val="2"/>
                <w:sz w:val="21"/>
                <w:szCs w:val="21"/>
                <w:highlight w:val="none"/>
                <w:lang w:val="en-US" w:eastAsia="zh-CN"/>
              </w:rPr>
              <w:t>相等时</w:t>
            </w:r>
            <w:r>
              <w:rPr>
                <w:rFonts w:hint="eastAsia" w:ascii="宋体" w:hAnsi="宋体" w:eastAsia="宋体" w:cs="宋体"/>
                <w:color w:val="auto"/>
                <w:kern w:val="2"/>
                <w:sz w:val="21"/>
                <w:szCs w:val="21"/>
                <w:highlight w:val="none"/>
                <w:lang w:val="en-US" w:eastAsia="zh-CN"/>
              </w:rPr>
              <w:t>，按照第一信封的排序规则和结果</w:t>
            </w:r>
            <w:r>
              <w:rPr>
                <w:rFonts w:hint="eastAsia" w:ascii="宋体" w:hAnsi="宋体" w:eastAsia="宋体" w:cs="宋体"/>
                <w:color w:val="auto"/>
                <w:kern w:val="2"/>
                <w:sz w:val="21"/>
                <w:szCs w:val="21"/>
                <w:highlight w:val="none"/>
                <w:lang w:val="en-US" w:eastAsia="zh-CN"/>
              </w:rPr>
              <w:t>推荐中标候选人</w:t>
            </w:r>
            <w:r>
              <w:rPr>
                <w:rFonts w:hint="eastAsia" w:ascii="宋体" w:hAnsi="宋体" w:eastAsia="宋体" w:cs="宋体"/>
                <w:color w:val="auto"/>
                <w:kern w:val="2"/>
                <w:sz w:val="21"/>
                <w:szCs w:val="21"/>
                <w:highlight w:val="none"/>
                <w:lang w:val="en-US" w:eastAsia="zh-CN"/>
              </w:rPr>
              <w:t>。</w:t>
            </w:r>
          </w:p>
        </w:tc>
      </w:tr>
      <w:tr w14:paraId="7CC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7AEB55A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671959B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77985FD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3AA9B37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429ECB78">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0C9C1A1F">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（1）</w:t>
            </w:r>
            <w:r>
              <w:rPr>
                <w:rStyle w:val="24"/>
                <w:rFonts w:hint="eastAsia" w:ascii="宋体" w:hAnsi="宋体" w:eastAsia="宋体" w:cs="宋体"/>
                <w:color w:val="auto"/>
                <w:sz w:val="21"/>
                <w:szCs w:val="21"/>
                <w:highlight w:val="none"/>
              </w:rPr>
              <w:t>投标文件按照招标文件规定的格式、内容填写，字迹清晰可辨：</w:t>
            </w:r>
          </w:p>
          <w:p w14:paraId="699AC675">
            <w:pPr>
              <w:pStyle w:val="23"/>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6E332ECE">
            <w:pPr>
              <w:pStyle w:val="23"/>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投标函附录的所有数据均符合招标文件规定；</w:t>
            </w:r>
          </w:p>
          <w:p w14:paraId="0D9DF6FD">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投标文件组成齐全完整，内容均按规定填写。</w:t>
            </w:r>
          </w:p>
          <w:p w14:paraId="62E671E7">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w:t>
            </w:r>
            <w:r>
              <w:rPr>
                <w:rStyle w:val="24"/>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770BC6AB">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（3）投标人按照招标文件的规定提供了投标保证金：</w:t>
            </w:r>
          </w:p>
          <w:p w14:paraId="1BB42813">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a.投标保证金金额符合招标文件规定的金额，且投标保证金有效期不少于投标有效期；</w:t>
            </w:r>
          </w:p>
          <w:p w14:paraId="58B906A6">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465E1CD8">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c.若投标保证金采用保函形式提交，应满足</w:t>
            </w:r>
            <w:r>
              <w:rPr>
                <w:rStyle w:val="24"/>
                <w:rFonts w:hint="eastAsia" w:ascii="宋体" w:hAnsi="宋体" w:eastAsia="宋体" w:cs="宋体"/>
                <w:color w:val="auto"/>
                <w:sz w:val="21"/>
                <w:szCs w:val="21"/>
                <w:highlight w:val="none"/>
                <w:lang w:val="en-US"/>
              </w:rPr>
              <w:t>招标文件</w:t>
            </w:r>
            <w:r>
              <w:rPr>
                <w:rStyle w:val="24"/>
                <w:rFonts w:hint="eastAsia" w:ascii="宋体" w:hAnsi="宋体" w:eastAsia="宋体" w:cs="宋体"/>
                <w:color w:val="auto"/>
                <w:sz w:val="21"/>
                <w:szCs w:val="21"/>
                <w:highlight w:val="none"/>
              </w:rPr>
              <w:t>相关要求。</w:t>
            </w:r>
          </w:p>
          <w:p w14:paraId="021D7B7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13BA00C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w:t>
            </w:r>
          </w:p>
          <w:p w14:paraId="0474AB9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Style w:val="18"/>
                <w:rFonts w:hint="eastAsia" w:ascii="宋体" w:hAnsi="宋体" w:eastAsia="宋体" w:cs="宋体"/>
                <w:color w:val="auto"/>
                <w:sz w:val="21"/>
                <w:szCs w:val="21"/>
                <w:highlight w:val="none"/>
                <w:shd w:val="clear" w:color="auto" w:fill="auto"/>
              </w:rPr>
              <w:t>投标人</w:t>
            </w:r>
            <w:r>
              <w:rPr>
                <w:rStyle w:val="18"/>
                <w:rFonts w:hint="eastAsia" w:ascii="宋体" w:hAnsi="宋体" w:eastAsia="宋体" w:cs="宋体"/>
                <w:color w:val="auto"/>
                <w:sz w:val="21"/>
                <w:szCs w:val="21"/>
                <w:highlight w:val="none"/>
                <w:shd w:val="clear" w:color="auto" w:fill="auto"/>
                <w:lang w:val="en-US" w:eastAsia="zh-CN"/>
              </w:rPr>
              <w:t>未</w:t>
            </w:r>
            <w:r>
              <w:rPr>
                <w:rStyle w:val="18"/>
                <w:rFonts w:hint="eastAsia" w:ascii="宋体" w:hAnsi="宋体" w:eastAsia="宋体" w:cs="宋体"/>
                <w:color w:val="auto"/>
                <w:sz w:val="21"/>
                <w:szCs w:val="21"/>
                <w:highlight w:val="none"/>
                <w:shd w:val="clear" w:color="auto" w:fill="auto"/>
              </w:rPr>
              <w:t>以联合体形式投标</w:t>
            </w:r>
            <w:r>
              <w:rPr>
                <w:rStyle w:val="18"/>
                <w:rFonts w:hint="eastAsia" w:ascii="宋体" w:hAnsi="宋体" w:eastAsia="宋体" w:cs="宋体"/>
                <w:color w:val="auto"/>
                <w:sz w:val="21"/>
                <w:szCs w:val="21"/>
                <w:highlight w:val="none"/>
                <w:shd w:val="clear" w:color="auto" w:fill="auto"/>
                <w:lang w:eastAsia="zh-CN"/>
              </w:rPr>
              <w:t>。</w:t>
            </w:r>
          </w:p>
          <w:p w14:paraId="72D719F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3190499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65FCC95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投标文件中未出现有关投标报价的内容。</w:t>
            </w:r>
          </w:p>
          <w:p w14:paraId="7EEC11A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t>投标文件载明的招标项目完成期限未超过招标文件规定的时限。</w:t>
            </w:r>
          </w:p>
          <w:p w14:paraId="1D9AC33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t>投标文件对招标文件的实质性要求和条件作出响应。</w:t>
            </w:r>
          </w:p>
          <w:p w14:paraId="5D1F28A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权利义务符合招标文件规定：</w:t>
            </w:r>
          </w:p>
          <w:p w14:paraId="049A8A5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投标人应接受招标文件规定的风险划分原则，未提出新的风险划分办法；</w:t>
            </w:r>
          </w:p>
          <w:p w14:paraId="2A81979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投标人未增加发包人的责任范围，或减少投标人义务；</w:t>
            </w:r>
          </w:p>
          <w:p w14:paraId="7B396C2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投标人未提出不同的工程验收、计量、支付办法；</w:t>
            </w:r>
          </w:p>
          <w:p w14:paraId="5036447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rPr>
              <w:t>投标人对合同纠纷、事故处理办法未提出异议；</w:t>
            </w:r>
          </w:p>
          <w:p w14:paraId="0ED6ED8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rPr>
              <w:t>投标人在投标活动中无欺诈行为；</w:t>
            </w:r>
          </w:p>
          <w:p w14:paraId="7E203B9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rPr>
              <w:t>投标人未对合同条款有重要保留。</w:t>
            </w:r>
          </w:p>
          <w:p w14:paraId="184B2E92">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p>
        </w:tc>
      </w:tr>
      <w:tr w14:paraId="0CE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1F61833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774B618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E8059D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5D7FD4BA">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09D647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投标文件按照招标文件规定的格式、内容填写，字迹清晰可</w:t>
            </w:r>
            <w:r>
              <w:rPr>
                <w:rFonts w:hint="eastAsia" w:ascii="宋体" w:hAnsi="宋体" w:eastAsia="宋体" w:cs="宋体"/>
                <w:color w:val="auto"/>
                <w:sz w:val="21"/>
                <w:szCs w:val="21"/>
                <w:highlight w:val="none"/>
              </w:rPr>
              <w:t>辨：</w:t>
            </w:r>
          </w:p>
          <w:p w14:paraId="534DC8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投标函按招标文件规定填报了项目名称、标段号、补遗书编号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、投标价（包括大写金额和小写金额)；</w:t>
            </w:r>
          </w:p>
          <w:p w14:paraId="082ADB0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已标价工程量清单说明文字与招标文件规定一致，未进行实质性修改和删减；</w:t>
            </w:r>
          </w:p>
          <w:p w14:paraId="3FF809F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5EDA3D2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4D9242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投标报价未超过招标文件设定的最高投标限价。</w:t>
            </w:r>
          </w:p>
          <w:p w14:paraId="71F5FB7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投标报价中报价的大写金额能够确定具体数值。</w:t>
            </w:r>
          </w:p>
          <w:p w14:paraId="33098EC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同一投标人未提交两个以上不同的投标报价，但招标文件要求提交备选投标的除外。</w:t>
            </w:r>
          </w:p>
          <w:p w14:paraId="511AB50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rPr>
              <w:t>提交调价函。</w:t>
            </w:r>
          </w:p>
          <w:p w14:paraId="369B938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投标人若填写工程量固化清单，填写完毕的工程量固化清单未对工程量固化清单电子文件中的数据、格式和运算定义进行修改；工程量固化清单中的投标报价和投标函大写金额报价一致。</w:t>
            </w:r>
          </w:p>
        </w:tc>
      </w:tr>
      <w:tr w14:paraId="4163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54C29D7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28732E9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53AE3BB9">
            <w:pPr>
              <w:pStyle w:val="25"/>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w:t>
            </w:r>
            <w:r>
              <w:rPr>
                <w:rFonts w:hint="eastAsia" w:ascii="宋体" w:hAnsi="宋体" w:eastAsia="宋体" w:cs="宋体"/>
                <w:color w:val="auto"/>
                <w:sz w:val="21"/>
                <w:szCs w:val="21"/>
                <w:highlight w:val="none"/>
                <w:lang w:val="en-US" w:eastAsia="zh-CN"/>
              </w:rPr>
              <w:t>证明材料。</w:t>
            </w:r>
          </w:p>
          <w:p w14:paraId="736B3A8B">
            <w:pPr>
              <w:pStyle w:val="25"/>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rPr>
              <w:t>投标人的资质等级符合招标文件规定</w:t>
            </w:r>
            <w:r>
              <w:rPr>
                <w:rFonts w:hint="eastAsia" w:ascii="宋体" w:hAnsi="宋体" w:eastAsia="宋体" w:cs="宋体"/>
                <w:color w:val="auto"/>
                <w:sz w:val="21"/>
                <w:szCs w:val="21"/>
                <w:highlight w:val="none"/>
                <w:lang w:val="en-US" w:eastAsia="zh-CN"/>
              </w:rPr>
              <w:t>。</w:t>
            </w:r>
          </w:p>
          <w:p w14:paraId="4B89CD4A">
            <w:pPr>
              <w:pStyle w:val="25"/>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r>
              <w:rPr>
                <w:rFonts w:hint="eastAsia" w:ascii="宋体" w:hAnsi="宋体" w:eastAsia="宋体" w:cs="宋体"/>
                <w:color w:val="auto"/>
                <w:sz w:val="21"/>
                <w:szCs w:val="21"/>
                <w:highlight w:val="none"/>
                <w:lang w:val="en-US" w:eastAsia="zh-CN"/>
              </w:rPr>
              <w:t>。</w:t>
            </w:r>
          </w:p>
          <w:p w14:paraId="5C111FF8">
            <w:pPr>
              <w:pStyle w:val="25"/>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投标人的类似项目业绩符合招标文件规定</w:t>
            </w:r>
            <w:r>
              <w:rPr>
                <w:rFonts w:hint="eastAsia" w:ascii="宋体" w:hAnsi="宋体" w:eastAsia="宋体" w:cs="宋体"/>
                <w:color w:val="auto"/>
                <w:sz w:val="21"/>
                <w:szCs w:val="21"/>
                <w:highlight w:val="none"/>
                <w:lang w:val="en-US" w:eastAsia="zh-CN"/>
              </w:rPr>
              <w:t>。</w:t>
            </w:r>
          </w:p>
          <w:p w14:paraId="20165C5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投标人的信誉符合招标文件规定</w:t>
            </w:r>
            <w:r>
              <w:rPr>
                <w:rFonts w:hint="eastAsia" w:ascii="宋体" w:hAnsi="宋体" w:eastAsia="宋体" w:cs="宋体"/>
                <w:color w:val="auto"/>
                <w:sz w:val="21"/>
                <w:szCs w:val="21"/>
                <w:highlight w:val="none"/>
                <w:lang w:eastAsia="zh-CN"/>
              </w:rPr>
              <w:t>。</w:t>
            </w:r>
          </w:p>
          <w:p w14:paraId="40B6FDEA">
            <w:pPr>
              <w:pStyle w:val="23"/>
              <w:keepNext w:val="0"/>
              <w:keepLines w:val="0"/>
              <w:pageBreakBefore w:val="0"/>
              <w:widowControl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（6）</w:t>
            </w:r>
            <w:r>
              <w:rPr>
                <w:rStyle w:val="24"/>
                <w:rFonts w:hint="eastAsia" w:ascii="宋体" w:hAnsi="宋体" w:eastAsia="宋体" w:cs="宋体"/>
                <w:color w:val="auto"/>
                <w:sz w:val="21"/>
                <w:szCs w:val="21"/>
                <w:highlight w:val="none"/>
              </w:rPr>
              <w:t>投标人的项目经理和项目总工资格、在岗情况符合招标文件规定</w:t>
            </w:r>
            <w:r>
              <w:rPr>
                <w:rStyle w:val="24"/>
                <w:rFonts w:hint="eastAsia" w:ascii="宋体" w:hAnsi="宋体" w:eastAsia="宋体" w:cs="宋体"/>
                <w:color w:val="auto"/>
                <w:sz w:val="21"/>
                <w:szCs w:val="21"/>
                <w:highlight w:val="none"/>
              </w:rPr>
              <w:t>。</w:t>
            </w:r>
          </w:p>
          <w:p w14:paraId="0DB30AA5">
            <w:pPr>
              <w:pStyle w:val="23"/>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lang w:val="en-US"/>
              </w:rPr>
            </w:pPr>
            <w:r>
              <w:rPr>
                <w:rStyle w:val="24"/>
                <w:rFonts w:hint="eastAsia" w:ascii="宋体" w:hAnsi="宋体" w:eastAsia="宋体" w:cs="宋体"/>
                <w:color w:val="auto"/>
                <w:sz w:val="21"/>
                <w:szCs w:val="21"/>
                <w:highlight w:val="none"/>
              </w:rPr>
              <w:t>（7）</w:t>
            </w:r>
            <w:r>
              <w:rPr>
                <w:rStyle w:val="24"/>
                <w:rFonts w:hint="eastAsia" w:ascii="宋体" w:hAnsi="宋体" w:eastAsia="宋体" w:cs="宋体"/>
                <w:color w:val="auto"/>
                <w:sz w:val="21"/>
                <w:szCs w:val="21"/>
                <w:highlight w:val="none"/>
              </w:rPr>
              <w:t>投标人不存在第二章“投标人须知”第1.4.3项或第1.4.4项规定的任何一种情形</w:t>
            </w:r>
            <w:r>
              <w:rPr>
                <w:rStyle w:val="24"/>
                <w:rFonts w:hint="eastAsia" w:ascii="宋体" w:hAnsi="宋体" w:eastAsia="宋体" w:cs="宋体"/>
                <w:color w:val="auto"/>
                <w:sz w:val="21"/>
                <w:szCs w:val="21"/>
                <w:highlight w:val="none"/>
              </w:rPr>
              <w:t>。</w:t>
            </w:r>
          </w:p>
        </w:tc>
      </w:tr>
      <w:tr w14:paraId="365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3560F0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5EE5AE7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E44BF7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28DC0D6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w:t>
            </w:r>
            <w:r>
              <w:rPr>
                <w:rFonts w:hint="eastAsia" w:ascii="宋体" w:hAnsi="宋体" w:eastAsia="宋体" w:cs="宋体"/>
                <w:color w:val="auto"/>
                <w:sz w:val="21"/>
                <w:szCs w:val="21"/>
                <w:highlight w:val="none"/>
                <w:lang w:val="zh-CN"/>
              </w:rPr>
              <w:t>100</w:t>
            </w:r>
            <w:r>
              <w:rPr>
                <w:rFonts w:hint="eastAsia" w:ascii="宋体" w:hAnsi="宋体" w:eastAsia="宋体" w:cs="宋体"/>
                <w:color w:val="auto"/>
                <w:sz w:val="21"/>
                <w:szCs w:val="21"/>
                <w:highlight w:val="none"/>
                <w:lang w:val="zh-CN"/>
              </w:rPr>
              <w:t>分）</w:t>
            </w:r>
          </w:p>
        </w:tc>
        <w:tc>
          <w:tcPr>
            <w:tcW w:w="7002" w:type="dxa"/>
            <w:tcBorders>
              <w:right w:val="single" w:color="auto" w:sz="12" w:space="0"/>
            </w:tcBorders>
            <w:vAlign w:val="center"/>
          </w:tcPr>
          <w:p w14:paraId="368E1C69">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施工组织设计：40分；</w:t>
            </w:r>
          </w:p>
          <w:p w14:paraId="39C5AA0C">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7070A0A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t>因素：35分。</w:t>
            </w:r>
          </w:p>
        </w:tc>
      </w:tr>
      <w:tr w14:paraId="61BE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CB1439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vAlign w:val="center"/>
          </w:tcPr>
          <w:p w14:paraId="15E63FAB">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tcBorders>
              <w:right w:val="single" w:color="auto" w:sz="12" w:space="0"/>
            </w:tcBorders>
            <w:vAlign w:val="center"/>
          </w:tcPr>
          <w:p w14:paraId="72D093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7D2F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AB10F4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tcBorders>
              <w:bottom w:val="single" w:color="auto" w:sz="12" w:space="0"/>
            </w:tcBorders>
            <w:vAlign w:val="center"/>
          </w:tcPr>
          <w:p w14:paraId="7ED06B1C">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tcBorders>
              <w:bottom w:val="single" w:color="auto" w:sz="12" w:space="0"/>
              <w:right w:val="single" w:color="auto" w:sz="12" w:space="0"/>
            </w:tcBorders>
            <w:vAlign w:val="center"/>
          </w:tcPr>
          <w:p w14:paraId="0AD1175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按投标人商务和技术得分由高到低排序，选择前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5011FF12">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w:t>
            </w:r>
            <w:r>
              <w:rPr>
                <w:rFonts w:hint="eastAsia" w:ascii="宋体" w:hAnsi="宋体" w:eastAsia="宋体" w:cs="宋体"/>
                <w:color w:val="auto"/>
                <w:sz w:val="21"/>
                <w:szCs w:val="21"/>
                <w:highlight w:val="none"/>
              </w:rPr>
              <w:t>第一信封（商务及技术文件）综合评分</w:t>
            </w:r>
            <w:r>
              <w:rPr>
                <w:rFonts w:hint="eastAsia" w:ascii="宋体" w:hAnsi="宋体" w:eastAsia="宋体" w:cs="宋体"/>
                <w:color w:val="auto"/>
                <w:sz w:val="21"/>
                <w:szCs w:val="21"/>
                <w:highlight w:val="none"/>
              </w:rPr>
              <w:t>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74CCD384">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信用评价得分较高者；</w:t>
            </w:r>
          </w:p>
          <w:p w14:paraId="6B9F8435">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主要人员</w:t>
            </w:r>
            <w:r>
              <w:rPr>
                <w:rFonts w:hint="eastAsia" w:ascii="宋体" w:hAnsi="宋体" w:eastAsia="宋体" w:cs="宋体"/>
                <w:color w:val="auto"/>
                <w:sz w:val="21"/>
                <w:szCs w:val="21"/>
                <w:highlight w:val="none"/>
              </w:rPr>
              <w:t>得分较高者；</w:t>
            </w:r>
          </w:p>
          <w:p w14:paraId="0D3D6847">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.施工组织设计得分较高者；</w:t>
            </w:r>
          </w:p>
          <w:p w14:paraId="6CE90AF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r>
              <w:rPr>
                <w:rFonts w:hint="eastAsia" w:ascii="宋体" w:hAnsi="宋体" w:eastAsia="宋体" w:cs="宋体"/>
                <w:color w:val="auto"/>
                <w:sz w:val="21"/>
                <w:szCs w:val="21"/>
                <w:highlight w:val="none"/>
              </w:rPr>
              <w:t>。</w:t>
            </w:r>
          </w:p>
        </w:tc>
      </w:tr>
    </w:tbl>
    <w:p w14:paraId="7FEBE68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14"/>
        <w:gridCol w:w="675"/>
        <w:gridCol w:w="945"/>
        <w:gridCol w:w="1845"/>
        <w:gridCol w:w="855"/>
        <w:gridCol w:w="4303"/>
      </w:tblGrid>
      <w:tr w14:paraId="0C9A2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234" w:type="dxa"/>
            <w:gridSpan w:val="5"/>
            <w:tcBorders>
              <w:tl2br w:val="nil"/>
              <w:tr2bl w:val="nil"/>
            </w:tcBorders>
            <w:vAlign w:val="center"/>
          </w:tcPr>
          <w:p w14:paraId="6534D9D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4"/>
            </w:r>
          </w:p>
        </w:tc>
        <w:tc>
          <w:tcPr>
            <w:tcW w:w="4303" w:type="dxa"/>
            <w:vMerge w:val="restart"/>
            <w:tcBorders>
              <w:tl2br w:val="nil"/>
              <w:tr2bl w:val="nil"/>
            </w:tcBorders>
            <w:vAlign w:val="center"/>
          </w:tcPr>
          <w:p w14:paraId="0C3A04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7BC40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914" w:type="dxa"/>
            <w:tcBorders>
              <w:tl2br w:val="nil"/>
              <w:tr2bl w:val="nil"/>
            </w:tcBorders>
            <w:vAlign w:val="center"/>
          </w:tcPr>
          <w:p w14:paraId="076911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vAlign w:val="center"/>
          </w:tcPr>
          <w:p w14:paraId="565247D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tcBorders>
              <w:tl2br w:val="nil"/>
              <w:tr2bl w:val="nil"/>
            </w:tcBorders>
            <w:vAlign w:val="center"/>
          </w:tcPr>
          <w:p w14:paraId="4F64DE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vAlign w:val="center"/>
          </w:tcPr>
          <w:p w14:paraId="048485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vAlign w:val="center"/>
          </w:tcPr>
          <w:p w14:paraId="04E63EE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vMerge w:val="continue"/>
            <w:tcBorders>
              <w:tl2br w:val="nil"/>
              <w:tr2bl w:val="nil"/>
            </w:tcBorders>
            <w:vAlign w:val="center"/>
          </w:tcPr>
          <w:p w14:paraId="13D9FB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5F2B0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9EABF2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（1）</w:t>
            </w:r>
          </w:p>
        </w:tc>
        <w:tc>
          <w:tcPr>
            <w:tcW w:w="675" w:type="dxa"/>
            <w:vMerge w:val="restart"/>
            <w:tcBorders>
              <w:tl2br w:val="nil"/>
              <w:tr2bl w:val="nil"/>
            </w:tcBorders>
            <w:vAlign w:val="center"/>
          </w:tcPr>
          <w:p w14:paraId="60B036B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vMerge w:val="restart"/>
            <w:tcBorders>
              <w:tl2br w:val="nil"/>
              <w:tr2bl w:val="nil"/>
            </w:tcBorders>
            <w:vAlign w:val="center"/>
          </w:tcPr>
          <w:p w14:paraId="5A9D48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t>分</w:t>
            </w:r>
          </w:p>
        </w:tc>
        <w:tc>
          <w:tcPr>
            <w:tcW w:w="1845" w:type="dxa"/>
            <w:vMerge w:val="restart"/>
            <w:tcBorders>
              <w:tl2br w:val="nil"/>
              <w:tr2bl w:val="nil"/>
            </w:tcBorders>
            <w:vAlign w:val="center"/>
          </w:tcPr>
          <w:p w14:paraId="1901087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855" w:type="dxa"/>
            <w:vMerge w:val="restart"/>
            <w:tcBorders>
              <w:tl2br w:val="nil"/>
              <w:tr2bl w:val="nil"/>
            </w:tcBorders>
            <w:vAlign w:val="center"/>
          </w:tcPr>
          <w:p w14:paraId="12EDF178">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7572B53B">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按招标文件要求编制总体布置及规划</w:t>
            </w:r>
            <w:r>
              <w:rPr>
                <w:rFonts w:hint="eastAsia" w:ascii="宋体" w:hAnsi="宋体" w:eastAsia="宋体" w:cs="宋体"/>
                <w:kern w:val="0"/>
                <w:sz w:val="21"/>
                <w:szCs w:val="21"/>
                <w:highlight w:val="none"/>
              </w:rPr>
              <w:t>得6</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4131A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20F590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EB7D9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575E9D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237EF9D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855" w:type="dxa"/>
            <w:vMerge w:val="restart"/>
            <w:tcBorders>
              <w:tl2br w:val="nil"/>
              <w:tr2bl w:val="nil"/>
            </w:tcBorders>
            <w:vAlign w:val="center"/>
          </w:tcPr>
          <w:p w14:paraId="077AB9EB">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2589CA5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按招标文件要求编制主要工程项目的施工方案、方法与技术措施</w:t>
            </w:r>
            <w:r>
              <w:rPr>
                <w:rFonts w:hint="eastAsia" w:ascii="宋体" w:hAnsi="宋体" w:eastAsia="宋体" w:cs="宋体"/>
                <w:kern w:val="0"/>
                <w:sz w:val="21"/>
                <w:szCs w:val="21"/>
                <w:highlight w:val="none"/>
              </w:rPr>
              <w:t>得9</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酌情加分，最高加6.0分。</w:t>
            </w:r>
          </w:p>
        </w:tc>
      </w:tr>
      <w:tr w14:paraId="0E096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095A39B">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AE11CE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D6E048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07A8BB7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855" w:type="dxa"/>
            <w:vMerge w:val="restart"/>
            <w:tcBorders>
              <w:tl2br w:val="nil"/>
              <w:tr2bl w:val="nil"/>
            </w:tcBorders>
            <w:vAlign w:val="center"/>
          </w:tcPr>
          <w:p w14:paraId="3027C325">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2F983EF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按招标文件要求编制工期、质量、安全生产、文明施工等保证体系及措施</w:t>
            </w:r>
            <w:r>
              <w:rPr>
                <w:rFonts w:hint="eastAsia" w:ascii="宋体" w:hAnsi="宋体" w:eastAsia="宋体" w:cs="宋体"/>
                <w:kern w:val="0"/>
                <w:sz w:val="21"/>
                <w:szCs w:val="21"/>
                <w:highlight w:val="none"/>
              </w:rPr>
              <w:t>得6</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135FF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14C256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345A0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C4122E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4D4FFEF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vAlign w:val="center"/>
          </w:tcPr>
          <w:p w14:paraId="30022112">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03" w:type="dxa"/>
            <w:tcBorders>
              <w:tl2br w:val="nil"/>
              <w:tr2bl w:val="nil"/>
            </w:tcBorders>
            <w:vAlign w:val="top"/>
          </w:tcPr>
          <w:p w14:paraId="2E3BBE8A">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shd w:val="clear" w:color="auto" w:fill="FFFFFF"/>
              </w:rPr>
              <w:t>按招标文件要求编制事故应急预案</w:t>
            </w:r>
            <w:r>
              <w:rPr>
                <w:rFonts w:hint="eastAsia" w:ascii="宋体" w:hAnsi="宋体" w:eastAsia="宋体" w:cs="宋体"/>
                <w:kern w:val="0"/>
                <w:sz w:val="21"/>
                <w:szCs w:val="21"/>
                <w:highlight w:val="none"/>
              </w:rPr>
              <w:t>得3</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酌情加分，最高加2.0分。</w:t>
            </w:r>
          </w:p>
        </w:tc>
      </w:tr>
      <w:tr w14:paraId="10192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67B9C2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（2）</w:t>
            </w:r>
          </w:p>
        </w:tc>
        <w:tc>
          <w:tcPr>
            <w:tcW w:w="675" w:type="dxa"/>
            <w:vMerge w:val="restart"/>
            <w:tcBorders>
              <w:tl2br w:val="nil"/>
              <w:tr2bl w:val="nil"/>
            </w:tcBorders>
            <w:vAlign w:val="center"/>
          </w:tcPr>
          <w:p w14:paraId="6CAC650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5461015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vAlign w:val="center"/>
          </w:tcPr>
          <w:p w14:paraId="01AA12C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t>分</w:t>
            </w:r>
          </w:p>
        </w:tc>
        <w:tc>
          <w:tcPr>
            <w:tcW w:w="1845" w:type="dxa"/>
            <w:tcBorders>
              <w:tl2br w:val="nil"/>
              <w:tr2bl w:val="nil"/>
            </w:tcBorders>
            <w:vAlign w:val="center"/>
          </w:tcPr>
          <w:p w14:paraId="77A2A97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36999C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2F63ADF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279415C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9分</w:t>
            </w:r>
            <w:r>
              <w:rPr>
                <w:rFonts w:hint="eastAsia" w:ascii="宋体" w:hAnsi="宋体" w:eastAsia="宋体" w:cs="宋体"/>
                <w:sz w:val="21"/>
                <w:szCs w:val="21"/>
                <w:highlight w:val="none"/>
              </w:rPr>
              <w:t>。</w:t>
            </w:r>
          </w:p>
          <w:p w14:paraId="309D7B3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每提供1项公路交通安全设施工程（包含新、改扩建工程或养护工程）施工业绩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w:t>
            </w:r>
          </w:p>
        </w:tc>
      </w:tr>
      <w:tr w14:paraId="6A066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44DE3F8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A25467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231444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561B68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66C4B13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690CA09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6C85720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6分</w:t>
            </w:r>
            <w:r>
              <w:rPr>
                <w:rFonts w:hint="eastAsia" w:ascii="宋体" w:hAnsi="宋体" w:eastAsia="宋体" w:cs="宋体"/>
                <w:sz w:val="21"/>
                <w:szCs w:val="21"/>
                <w:highlight w:val="none"/>
              </w:rPr>
              <w:t>。</w:t>
            </w:r>
          </w:p>
          <w:p w14:paraId="364CDD0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每提供1项公路交通安全设施工程（包含新、改扩建工程或养护工程）施工业绩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w:t>
            </w:r>
          </w:p>
        </w:tc>
      </w:tr>
      <w:tr w14:paraId="51EDD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0086187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675" w:type="dxa"/>
            <w:vMerge w:val="restart"/>
            <w:tcBorders>
              <w:tl2br w:val="nil"/>
              <w:tr2bl w:val="nil"/>
            </w:tcBorders>
            <w:vAlign w:val="center"/>
          </w:tcPr>
          <w:p w14:paraId="0E8146C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rPr>
              <w:t>他因素</w:t>
            </w:r>
          </w:p>
        </w:tc>
        <w:tc>
          <w:tcPr>
            <w:tcW w:w="945" w:type="dxa"/>
            <w:vMerge w:val="restart"/>
            <w:tcBorders>
              <w:tl2br w:val="nil"/>
              <w:tr2bl w:val="nil"/>
            </w:tcBorders>
            <w:vAlign w:val="center"/>
          </w:tcPr>
          <w:p w14:paraId="4A72695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vAlign w:val="center"/>
          </w:tcPr>
          <w:p w14:paraId="2C8A5CC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w:t>
            </w:r>
            <w:r>
              <w:rPr>
                <w:rFonts w:hint="eastAsia" w:ascii="宋体" w:hAnsi="宋体" w:eastAsia="宋体" w:cs="宋体"/>
                <w:color w:val="auto"/>
                <w:sz w:val="21"/>
                <w:szCs w:val="21"/>
                <w:highlight w:val="none"/>
              </w:rPr>
              <w:t>绩</w:t>
            </w:r>
          </w:p>
        </w:tc>
        <w:tc>
          <w:tcPr>
            <w:tcW w:w="855" w:type="dxa"/>
            <w:vMerge w:val="restart"/>
            <w:tcBorders>
              <w:tl2br w:val="nil"/>
              <w:tr2bl w:val="nil"/>
            </w:tcBorders>
            <w:vAlign w:val="center"/>
          </w:tcPr>
          <w:p w14:paraId="2DD72F7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tcBorders>
              <w:tl2br w:val="nil"/>
              <w:tr2bl w:val="nil"/>
            </w:tcBorders>
            <w:vAlign w:val="center"/>
          </w:tcPr>
          <w:p w14:paraId="02AB6B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07BAF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769C7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EA678A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F3D0F2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shd w:val="clear" w:color="auto" w:fill="auto"/>
            <w:vAlign w:val="center"/>
          </w:tcPr>
          <w:p w14:paraId="73284F7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shd w:val="clear" w:color="auto" w:fill="auto"/>
            <w:vAlign w:val="center"/>
          </w:tcPr>
          <w:p w14:paraId="3A4DD93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tcBorders>
              <w:tl2br w:val="nil"/>
              <w:tr2bl w:val="nil"/>
            </w:tcBorders>
            <w:shd w:val="clear" w:color="auto" w:fill="auto"/>
            <w:vAlign w:val="center"/>
          </w:tcPr>
          <w:p w14:paraId="1BB136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近五年内</w:t>
            </w:r>
            <w:r>
              <w:rPr>
                <w:rFonts w:hint="eastAsia" w:ascii="宋体" w:hAnsi="宋体" w:eastAsia="宋体" w:cs="宋体"/>
                <w:color w:val="auto"/>
                <w:sz w:val="21"/>
                <w:szCs w:val="21"/>
                <w:highlight w:val="none"/>
              </w:rPr>
              <w:t>（指202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年1月1日至投标截止时间，两阶段验收工程以交工时间为准，一阶段验收工程以竣工时间为准</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每完成1项公路交通安全设施工程（包含新、改扩建工程或养护工程）施工业绩加4分，最多加8分</w:t>
            </w:r>
            <w:r>
              <w:rPr>
                <w:rFonts w:hint="eastAsia" w:ascii="宋体" w:hAnsi="宋体" w:eastAsia="宋体" w:cs="宋体"/>
                <w:color w:val="auto"/>
                <w:sz w:val="21"/>
                <w:szCs w:val="21"/>
                <w:highlight w:val="none"/>
                <w:lang w:eastAsia="zh-CN"/>
              </w:rPr>
              <w:t>。</w:t>
            </w:r>
          </w:p>
        </w:tc>
      </w:tr>
      <w:tr w14:paraId="19B16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165005F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4E9D3E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8BC14D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3394E4F5">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w:t>
            </w:r>
          </w:p>
        </w:tc>
        <w:tc>
          <w:tcPr>
            <w:tcW w:w="855" w:type="dxa"/>
            <w:tcBorders>
              <w:tl2br w:val="nil"/>
              <w:tr2bl w:val="nil"/>
            </w:tcBorders>
            <w:vAlign w:val="center"/>
          </w:tcPr>
          <w:p w14:paraId="050FA35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549D7559">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45423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7C0B2DD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4099D8A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40D1D7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C62A9AE">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2602324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c>
          <w:tcPr>
            <w:tcW w:w="4303" w:type="dxa"/>
            <w:tcBorders>
              <w:tl2br w:val="nil"/>
              <w:tr2bl w:val="nil"/>
            </w:tcBorders>
            <w:vAlign w:val="center"/>
          </w:tcPr>
          <w:p w14:paraId="0F915FB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级，得1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r>
      <w:tr w14:paraId="73841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0B3FD9B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7941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E77EEB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1536AC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3A21BD1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c>
          <w:tcPr>
            <w:tcW w:w="4303" w:type="dxa"/>
            <w:tcBorders>
              <w:tl2br w:val="nil"/>
              <w:tr2bl w:val="nil"/>
            </w:tcBorders>
            <w:vAlign w:val="center"/>
          </w:tcPr>
          <w:p w14:paraId="4659DE5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r>
      <w:tr w14:paraId="11244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345FD44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EC8530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CDBBC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5FAE5E5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1C5AFA5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4303" w:type="dxa"/>
            <w:tcBorders>
              <w:tl2br w:val="nil"/>
              <w:tr2bl w:val="nil"/>
            </w:tcBorders>
            <w:vAlign w:val="center"/>
          </w:tcPr>
          <w:p w14:paraId="64E7B8C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信用评价C级，得6分。</w:t>
            </w:r>
          </w:p>
        </w:tc>
      </w:tr>
      <w:tr w14:paraId="21FAC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67CD8CB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7AA314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8F7DD9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5878CF0D">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20252EB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0分</w:t>
            </w:r>
          </w:p>
        </w:tc>
        <w:tc>
          <w:tcPr>
            <w:tcW w:w="4303" w:type="dxa"/>
            <w:tcBorders>
              <w:tl2br w:val="nil"/>
              <w:tr2bl w:val="nil"/>
            </w:tcBorders>
            <w:vAlign w:val="center"/>
          </w:tcPr>
          <w:p w14:paraId="1992D7A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r>
      <w:tr w14:paraId="33537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E1B1CB0">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1D7904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841C074">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3"/>
            <w:tcBorders>
              <w:tl2br w:val="nil"/>
              <w:tr2bl w:val="nil"/>
            </w:tcBorders>
            <w:vAlign w:val="center"/>
          </w:tcPr>
          <w:p w14:paraId="70C750F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064860B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年度普通干线公路养护工程施工企业信用评价结果公告》中的投标人信用等级</w:t>
            </w:r>
            <w:r>
              <w:rPr>
                <w:rFonts w:hint="eastAsia" w:ascii="宋体" w:hAnsi="宋体" w:eastAsia="宋体" w:cs="宋体"/>
                <w:color w:val="auto"/>
                <w:sz w:val="21"/>
                <w:szCs w:val="21"/>
                <w:highlight w:val="none"/>
                <w:lang w:eastAsia="zh-CN"/>
              </w:rPr>
              <w:t>；</w:t>
            </w:r>
          </w:p>
          <w:p w14:paraId="5440171E">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年度普通干线公路养护工程施工企业信用评价结果公告》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rPr>
              <w:t>中的投标人信用等级</w:t>
            </w:r>
            <w:r>
              <w:rPr>
                <w:rFonts w:hint="eastAsia" w:ascii="宋体" w:hAnsi="宋体" w:eastAsia="宋体" w:cs="宋体"/>
                <w:color w:val="auto"/>
                <w:sz w:val="21"/>
                <w:szCs w:val="21"/>
                <w:highlight w:val="none"/>
                <w:lang w:eastAsia="zh-CN"/>
              </w:rPr>
              <w:t>；</w:t>
            </w:r>
          </w:p>
          <w:p w14:paraId="0112D81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采用交</w:t>
            </w:r>
            <w:r>
              <w:rPr>
                <w:rFonts w:hint="eastAsia" w:ascii="宋体" w:hAnsi="宋体" w:eastAsia="宋体" w:cs="宋体"/>
                <w:color w:val="auto"/>
                <w:sz w:val="21"/>
                <w:szCs w:val="21"/>
                <w:highlight w:val="none"/>
                <w:lang w:val="en-US" w:eastAsia="zh-CN"/>
              </w:rPr>
              <w:t>通运输部“全国公路建设市场监督管理系统/全国公路从业单位信用评价结果”中，投标人的2024年度“施工企业”信用等级；</w:t>
            </w:r>
          </w:p>
          <w:p w14:paraId="46E91E0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w:t>
            </w:r>
            <w:r>
              <w:rPr>
                <w:rFonts w:hint="eastAsia" w:ascii="宋体" w:hAnsi="宋体" w:eastAsia="宋体" w:cs="宋体"/>
                <w:color w:val="auto"/>
                <w:sz w:val="21"/>
                <w:szCs w:val="21"/>
                <w:highlight w:val="none"/>
                <w:lang w:val="en-US" w:eastAsia="zh-CN"/>
              </w:rPr>
              <w:t>上述信用评价的，若未列入交通运输部“全国公路建设市场监督管理系统”中“不良信用记录”的，按A级对待，否则视其严重程度按B级或以下等级对待。</w:t>
            </w:r>
          </w:p>
        </w:tc>
      </w:tr>
      <w:tr w14:paraId="06286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37" w:type="dxa"/>
            <w:gridSpan w:val="6"/>
            <w:tcBorders>
              <w:tl2br w:val="nil"/>
              <w:tr2bl w:val="nil"/>
            </w:tcBorders>
            <w:vAlign w:val="center"/>
          </w:tcPr>
          <w:p w14:paraId="461FAAD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4360F9F3">
      <w:pPr>
        <w:keepLines w:val="0"/>
        <w:pageBreakBefore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1F77E08D">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招</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标</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人：长白山保护开发区公路服务中心</w:t>
      </w:r>
    </w:p>
    <w:p w14:paraId="4113BF3E">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地</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址：吉林省延边州安图县二道镇白山大街康乐胡同血站综合楼</w:t>
      </w:r>
    </w:p>
    <w:p w14:paraId="7D6C8F67">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联</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系</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w:t>
      </w:r>
      <w:r>
        <w:rPr>
          <w:rFonts w:hint="eastAsia" w:ascii="宋体" w:hAnsi="宋体" w:eastAsia="宋体" w:cs="宋体"/>
          <w:color w:val="auto"/>
          <w:kern w:val="0"/>
          <w:sz w:val="21"/>
          <w:szCs w:val="21"/>
          <w:highlight w:val="none"/>
          <w:lang w:val="en-US" w:bidi="zh-CN"/>
        </w:rPr>
        <w:t>马海波</w:t>
      </w:r>
    </w:p>
    <w:p w14:paraId="1EE44ABB">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电</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话：0433-6179007</w:t>
      </w:r>
      <w:bookmarkStart w:id="15" w:name="_GoBack"/>
      <w:bookmarkEnd w:id="15"/>
    </w:p>
    <w:p w14:paraId="77D75B19">
      <w:pPr>
        <w:rPr>
          <w:rFonts w:hint="eastAsia"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超粗黑简体">
    <w:altName w:val="黑体"/>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A28498D">
      <w:pPr>
        <w:pStyle w:val="8"/>
      </w:pPr>
      <w:r>
        <w:rPr>
          <w:rStyle w:val="11"/>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4FAE817E">
      <w:pPr>
        <w:rPr>
          <w:sz w:val="18"/>
          <w:szCs w:val="18"/>
        </w:rPr>
      </w:pPr>
      <w:r>
        <w:rPr>
          <w:rStyle w:val="11"/>
        </w:rPr>
        <w:footnoteRef/>
      </w:r>
      <w:r>
        <w:rPr>
          <w:rFonts w:hint="eastAsia" w:ascii="宋体" w:hAnsi="宋体" w:cs="宋体"/>
          <w:kern w:val="0"/>
          <w:sz w:val="18"/>
          <w:szCs w:val="18"/>
          <w:lang w:val="zh-CN"/>
        </w:rPr>
        <w:t>本表所列人员不得互相兼职。</w:t>
      </w:r>
    </w:p>
  </w:footnote>
  <w:footnote w:id="2">
    <w:p w14:paraId="07B0EF9A">
      <w:pPr>
        <w:pStyle w:val="8"/>
      </w:pPr>
      <w:r>
        <w:rPr>
          <w:rStyle w:val="11"/>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BatangChe" w:hAnsi="BatangChe"/>
          <w:spacing w:val="-6"/>
        </w:rPr>
        <w:t>。</w:t>
      </w:r>
    </w:p>
  </w:footnote>
  <w:footnote w:id="3">
    <w:p w14:paraId="43C1FFD1">
      <w:pPr>
        <w:pStyle w:val="8"/>
      </w:pPr>
      <w:r>
        <w:rPr>
          <w:rStyle w:val="11"/>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50A3A82B">
      <w:pPr>
        <w:pStyle w:val="8"/>
        <w:jc w:val="both"/>
        <w:rPr>
          <w:rFonts w:ascii="宋体" w:hAnsi="宋体"/>
        </w:rPr>
      </w:pPr>
      <w:r>
        <w:rPr>
          <w:rStyle w:val="11"/>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10CA24F9"/>
    <w:rsid w:val="474D1979"/>
    <w:rsid w:val="4C4832FE"/>
    <w:rsid w:val="6623322B"/>
    <w:rsid w:val="7C983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link w:val="26"/>
    <w:qFormat/>
    <w:uiPriority w:val="99"/>
    <w:pPr>
      <w:ind w:firstLine="1120" w:firstLineChars="400"/>
    </w:pPr>
    <w:rPr>
      <w:rFonts w:ascii="Times New Roman" w:hAnsi="Times New Roman" w:eastAsia="宋体" w:cs="Times New Roman"/>
      <w:sz w:val="28"/>
      <w:szCs w:val="24"/>
    </w:rPr>
  </w:style>
  <w:style w:type="paragraph" w:styleId="4">
    <w:name w:val="Body Text Indent 2"/>
    <w:basedOn w:val="1"/>
    <w:link w:val="27"/>
    <w:semiHidden/>
    <w:unhideWhenUsed/>
    <w:qFormat/>
    <w:uiPriority w:val="99"/>
    <w:pPr>
      <w:spacing w:after="120" w:line="480" w:lineRule="auto"/>
      <w:ind w:left="420" w:leftChars="200"/>
    </w:pPr>
  </w:style>
  <w:style w:type="paragraph" w:styleId="5">
    <w:name w:val="Plain Text"/>
    <w:basedOn w:val="1"/>
    <w:link w:val="28"/>
    <w:qFormat/>
    <w:uiPriority w:val="99"/>
    <w:rPr>
      <w:rFonts w:ascii="宋体" w:hAnsi="Courier New" w:eastAsia="宋体" w:cs="Times New Roman"/>
      <w:szCs w:val="21"/>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4"/>
    <w:autoRedefine/>
    <w:unhideWhenUsed/>
    <w:qFormat/>
    <w:uiPriority w:val="0"/>
    <w:pPr>
      <w:snapToGrid w:val="0"/>
      <w:jc w:val="left"/>
    </w:pPr>
    <w:rPr>
      <w:rFonts w:ascii="Times New Roman" w:hAnsi="Times New Roman" w:eastAsia="宋体" w:cs="Times New Roman"/>
      <w:kern w:val="0"/>
      <w:sz w:val="18"/>
      <w:szCs w:val="18"/>
    </w:rPr>
  </w:style>
  <w:style w:type="character" w:styleId="11">
    <w:name w:val="footnote reference"/>
    <w:autoRedefine/>
    <w:qFormat/>
    <w:uiPriority w:val="0"/>
    <w:rPr>
      <w:vertAlign w:val="superscript"/>
    </w:rPr>
  </w:style>
  <w:style w:type="character" w:customStyle="1" w:styleId="12">
    <w:name w:val="其他_"/>
    <w:link w:val="13"/>
    <w:qFormat/>
    <w:uiPriority w:val="0"/>
    <w:rPr>
      <w:rFonts w:ascii="宋体" w:hAnsi="宋体" w:cs="宋体"/>
      <w:shd w:val="clear" w:color="auto" w:fill="FFFFFF"/>
      <w:lang w:val="zh-CN" w:bidi="zh-CN"/>
    </w:rPr>
  </w:style>
  <w:style w:type="paragraph" w:customStyle="1" w:styleId="13">
    <w:name w:val="其他"/>
    <w:basedOn w:val="1"/>
    <w:link w:val="12"/>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4">
    <w:name w:val="脚注文本 字符"/>
    <w:basedOn w:val="10"/>
    <w:link w:val="8"/>
    <w:qFormat/>
    <w:uiPriority w:val="0"/>
    <w:rPr>
      <w:rFonts w:ascii="Times New Roman" w:hAnsi="Times New Roman" w:eastAsia="宋体" w:cs="Times New Roman"/>
      <w:kern w:val="0"/>
      <w:sz w:val="18"/>
      <w:szCs w:val="18"/>
    </w:rPr>
  </w:style>
  <w:style w:type="character" w:customStyle="1" w:styleId="15">
    <w:name w:val="正文文本 (2)_"/>
    <w:link w:val="16"/>
    <w:autoRedefine/>
    <w:qFormat/>
    <w:uiPriority w:val="0"/>
    <w:rPr>
      <w:rFonts w:ascii="宋体" w:hAnsi="宋体" w:cs="宋体"/>
      <w:sz w:val="22"/>
      <w:shd w:val="clear" w:color="auto" w:fill="FFFFFF"/>
    </w:rPr>
  </w:style>
  <w:style w:type="paragraph" w:customStyle="1" w:styleId="16">
    <w:name w:val="正文文本 (2)"/>
    <w:basedOn w:val="1"/>
    <w:link w:val="15"/>
    <w:autoRedefine/>
    <w:qFormat/>
    <w:uiPriority w:val="0"/>
    <w:pPr>
      <w:shd w:val="clear" w:color="auto" w:fill="FFFFFF"/>
      <w:spacing w:before="300" w:line="439" w:lineRule="exact"/>
      <w:jc w:val="distribute"/>
    </w:pPr>
    <w:rPr>
      <w:rFonts w:ascii="宋体" w:hAnsi="宋体" w:cs="宋体"/>
      <w:sz w:val="22"/>
    </w:rPr>
  </w:style>
  <w:style w:type="paragraph" w:styleId="17">
    <w:name w:val="List Paragraph"/>
    <w:basedOn w:val="1"/>
    <w:qFormat/>
    <w:uiPriority w:val="34"/>
    <w:pPr>
      <w:ind w:firstLine="420" w:firstLineChars="200"/>
    </w:pPr>
    <w:rPr>
      <w:rFonts w:ascii="Times New Roman" w:hAnsi="Times New Roman" w:eastAsia="宋体" w:cs="Times New Roman"/>
    </w:rPr>
  </w:style>
  <w:style w:type="character" w:customStyle="1" w:styleId="18">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9">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0">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1">
    <w:name w:val="页眉 字符"/>
    <w:basedOn w:val="10"/>
    <w:link w:val="7"/>
    <w:qFormat/>
    <w:uiPriority w:val="99"/>
    <w:rPr>
      <w:sz w:val="18"/>
      <w:szCs w:val="18"/>
    </w:rPr>
  </w:style>
  <w:style w:type="character" w:customStyle="1" w:styleId="22">
    <w:name w:val="页脚 字符"/>
    <w:basedOn w:val="10"/>
    <w:link w:val="6"/>
    <w:autoRedefine/>
    <w:qFormat/>
    <w:uiPriority w:val="99"/>
    <w:rPr>
      <w:sz w:val="18"/>
      <w:szCs w:val="18"/>
    </w:rPr>
  </w:style>
  <w:style w:type="paragraph" w:customStyle="1" w:styleId="23">
    <w:name w:val="MSG_EN_FONT_STYLE_NAME_TEMPLATE_ROLE_NUMBER MSG_EN_FONT_STYLE_NAME_BY_ROLE_TEXT 131"/>
    <w:basedOn w:val="1"/>
    <w:link w:val="29"/>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4">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5">
    <w:name w:val="MSG_EN_FONT_STYLE_NAME_TEMPLATE_ROLE_NUMBER MSG_EN_FONT_STYLE_NAME_BY_ROLE_TEXT 5"/>
    <w:basedOn w:val="1"/>
    <w:link w:val="30"/>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6">
    <w:name w:val="正文文本缩进 字符"/>
    <w:basedOn w:val="10"/>
    <w:link w:val="3"/>
    <w:qFormat/>
    <w:uiPriority w:val="99"/>
    <w:rPr>
      <w:rFonts w:ascii="Times New Roman" w:hAnsi="Times New Roman" w:eastAsia="宋体" w:cs="Times New Roman"/>
      <w:kern w:val="2"/>
      <w:sz w:val="28"/>
      <w:szCs w:val="24"/>
    </w:rPr>
  </w:style>
  <w:style w:type="character" w:customStyle="1" w:styleId="27">
    <w:name w:val="正文文本缩进 2 字符"/>
    <w:basedOn w:val="10"/>
    <w:link w:val="4"/>
    <w:semiHidden/>
    <w:qFormat/>
    <w:uiPriority w:val="99"/>
    <w:rPr>
      <w:kern w:val="2"/>
      <w:sz w:val="21"/>
      <w:szCs w:val="22"/>
    </w:rPr>
  </w:style>
  <w:style w:type="character" w:customStyle="1" w:styleId="28">
    <w:name w:val="纯文本 字符"/>
    <w:basedOn w:val="10"/>
    <w:link w:val="5"/>
    <w:qFormat/>
    <w:uiPriority w:val="99"/>
    <w:rPr>
      <w:rFonts w:ascii="宋体" w:hAnsi="Courier New" w:eastAsia="宋体" w:cs="Times New Roman"/>
      <w:kern w:val="2"/>
      <w:sz w:val="21"/>
      <w:szCs w:val="21"/>
    </w:rPr>
  </w:style>
  <w:style w:type="character" w:customStyle="1" w:styleId="29">
    <w:name w:val="MSG_EN_FONT_STYLE_NAME_TEMPLATE_ROLE_NUMBER MSG_EN_FONT_STYLE_NAME_BY_ROLE_TEXT 13_"/>
    <w:link w:val="23"/>
    <w:qFormat/>
    <w:uiPriority w:val="0"/>
    <w:rPr>
      <w:rFonts w:ascii="PMingLiU" w:hAnsi="PMingLiU" w:eastAsia="PMingLiU" w:cs="PMingLiU"/>
      <w:shd w:val="clear" w:color="auto" w:fill="FFFFFF"/>
    </w:rPr>
  </w:style>
  <w:style w:type="character" w:customStyle="1" w:styleId="30">
    <w:name w:val="MSG_EN_FONT_STYLE_NAME_TEMPLATE_ROLE_NUMBER MSG_EN_FONT_STYLE_NAME_BY_ROLE_TEXT 5_"/>
    <w:link w:val="25"/>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2851</Words>
  <Characters>3024</Characters>
  <Lines>39</Lines>
  <Paragraphs>11</Paragraphs>
  <TotalTime>0</TotalTime>
  <ScaleCrop>false</ScaleCrop>
  <LinksUpToDate>false</LinksUpToDate>
  <CharactersWithSpaces>3038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2026-04-20T05:19:06Z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