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78F5E5">
      <w:pPr>
        <w:adjustRightInd w:val="0"/>
        <w:snapToGrid w:val="0"/>
        <w:spacing w:line="400" w:lineRule="exact"/>
        <w:ind w:firstLine="240" w:firstLineChars="100"/>
        <w:jc w:val="center"/>
        <w:rPr>
          <w:rFonts w:hint="eastAsia" w:ascii="黑体" w:hAnsi="黑体" w:eastAsia="黑体"/>
          <w:bCs/>
          <w:sz w:val="24"/>
          <w:szCs w:val="24"/>
          <w:highlight w:val="none"/>
        </w:rPr>
      </w:pPr>
      <w:bookmarkStart w:id="0" w:name="_Hlk190073325"/>
      <w:bookmarkStart w:id="1" w:name="_Hlk187238392"/>
      <w:bookmarkStart w:id="2" w:name="_Hlk189830412"/>
      <w:bookmarkStart w:id="3" w:name="OLE_LINK2"/>
      <w:bookmarkStart w:id="4" w:name="OLE_LINK1"/>
      <w:bookmarkStart w:id="5" w:name="_Toc197960492"/>
      <w:bookmarkStart w:id="6" w:name="_Toc197950802"/>
      <w:bookmarkStart w:id="7" w:name="_Toc197967117"/>
      <w:bookmarkStart w:id="8" w:name="_Toc197960544"/>
      <w:bookmarkStart w:id="9" w:name="_Toc197967265"/>
      <w:bookmarkStart w:id="10" w:name="_Toc197951587"/>
      <w:bookmarkStart w:id="11" w:name="_Toc197965596"/>
      <w:bookmarkStart w:id="12" w:name="_Toc197950681"/>
      <w:bookmarkStart w:id="13" w:name="_Toc197951555"/>
      <w:bookmarkStart w:id="131" w:name="_GoBack"/>
      <w:r>
        <w:rPr>
          <w:rFonts w:hint="eastAsia" w:ascii="黑体" w:hAnsi="黑体" w:eastAsia="黑体"/>
          <w:bCs/>
          <w:sz w:val="24"/>
          <w:szCs w:val="24"/>
          <w:highlight w:val="none"/>
        </w:rPr>
        <w:t>延边州2026年龙东公路开山屯至城管起点、新建至松江镇北出口、观景台至三道林场及</w:t>
      </w:r>
    </w:p>
    <w:p w14:paraId="34453156">
      <w:pPr>
        <w:adjustRightInd w:val="0"/>
        <w:snapToGrid w:val="0"/>
        <w:spacing w:line="400" w:lineRule="exact"/>
        <w:ind w:firstLine="240" w:firstLineChars="100"/>
        <w:jc w:val="center"/>
        <w:rPr>
          <w:rFonts w:hint="eastAsia" w:ascii="黑体" w:hAnsi="黑体" w:eastAsia="黑体"/>
          <w:bCs/>
          <w:sz w:val="24"/>
          <w:szCs w:val="24"/>
          <w:highlight w:val="none"/>
        </w:rPr>
      </w:pPr>
      <w:r>
        <w:rPr>
          <w:rFonts w:hint="eastAsia" w:ascii="黑体" w:hAnsi="黑体" w:eastAsia="黑体"/>
          <w:bCs/>
          <w:sz w:val="24"/>
          <w:szCs w:val="24"/>
          <w:highlight w:val="none"/>
        </w:rPr>
        <w:t>松露公路松江至二道白河路面提质工程施工</w:t>
      </w:r>
    </w:p>
    <w:p w14:paraId="2DD918B6">
      <w:pPr>
        <w:adjustRightInd w:val="0"/>
        <w:snapToGrid w:val="0"/>
        <w:spacing w:line="400" w:lineRule="exact"/>
        <w:ind w:firstLine="240" w:firstLineChars="100"/>
        <w:jc w:val="center"/>
        <w:rPr>
          <w:rFonts w:hint="eastAsia" w:ascii="黑体" w:hAnsi="黑体" w:eastAsia="黑体"/>
          <w:bCs/>
          <w:sz w:val="24"/>
          <w:szCs w:val="24"/>
          <w:highlight w:val="none"/>
        </w:rPr>
      </w:pPr>
      <w:r>
        <w:rPr>
          <w:rFonts w:hint="eastAsia" w:ascii="黑体" w:hAnsi="黑体" w:eastAsia="黑体"/>
          <w:bCs/>
          <w:sz w:val="24"/>
          <w:szCs w:val="24"/>
          <w:highlight w:val="none"/>
        </w:rPr>
        <w:t>招标文件关键内容信息公开</w:t>
      </w:r>
    </w:p>
    <w:p w14:paraId="0209014E">
      <w:pPr>
        <w:adjustRightInd w:val="0"/>
        <w:snapToGrid w:val="0"/>
        <w:spacing w:before="120" w:beforeLines="50" w:after="120" w:afterLines="50" w:line="400" w:lineRule="exact"/>
        <w:rPr>
          <w:rFonts w:hint="eastAsia" w:ascii="黑体" w:hAnsi="黑体" w:eastAsia="黑体"/>
          <w:bCs/>
          <w:sz w:val="24"/>
          <w:szCs w:val="24"/>
          <w:highlight w:val="none"/>
        </w:rPr>
      </w:pPr>
      <w:bookmarkStart w:id="14" w:name="_Toc436994093"/>
      <w:bookmarkStart w:id="15" w:name="_Hlk186113543"/>
      <w:bookmarkStart w:id="16" w:name="OLE_LINK49"/>
      <w:bookmarkStart w:id="17" w:name="_Toc327432500"/>
      <w:bookmarkStart w:id="18" w:name="_Toc184704556"/>
      <w:bookmarkStart w:id="19" w:name="OLE_LINK65"/>
      <w:r>
        <w:rPr>
          <w:rFonts w:ascii="黑体" w:hAnsi="黑体" w:eastAsia="黑体"/>
          <w:bCs/>
          <w:sz w:val="24"/>
          <w:szCs w:val="24"/>
          <w:highlight w:val="none"/>
        </w:rPr>
        <w:t>1.招标条件</w:t>
      </w:r>
      <w:bookmarkEnd w:id="14"/>
    </w:p>
    <w:p w14:paraId="060DC5C4">
      <w:pPr>
        <w:adjustRightInd w:val="0"/>
        <w:snapToGrid w:val="0"/>
        <w:spacing w:line="400" w:lineRule="exact"/>
        <w:ind w:firstLine="420" w:firstLineChars="200"/>
        <w:rPr>
          <w:rFonts w:hint="eastAsia" w:ascii="宋体" w:hAnsi="宋体"/>
          <w:bCs/>
          <w:szCs w:val="21"/>
          <w:highlight w:val="none"/>
        </w:rPr>
      </w:pPr>
      <w:r>
        <w:rPr>
          <w:rFonts w:hint="eastAsia" w:ascii="宋体" w:hAnsi="宋体"/>
          <w:bCs/>
          <w:szCs w:val="21"/>
          <w:highlight w:val="none"/>
        </w:rPr>
        <w:t>本招标项目</w:t>
      </w:r>
      <w:r>
        <w:rPr>
          <w:rFonts w:hint="eastAsia" w:ascii="黑体" w:hAnsi="黑体" w:eastAsia="黑体"/>
          <w:bCs/>
          <w:kern w:val="0"/>
          <w:szCs w:val="21"/>
          <w:highlight w:val="none"/>
          <w:u w:val="single"/>
          <w:lang w:val="zh-CN"/>
        </w:rPr>
        <w:t>延边州2026年龙东公路开山屯至城管起点、新建至松江镇北出口、观景台至三道林场及松露公路松江至二道白河路面提质工程</w:t>
      </w:r>
      <w:r>
        <w:rPr>
          <w:rFonts w:hint="eastAsia" w:ascii="宋体" w:hAnsi="宋体"/>
          <w:bCs/>
          <w:kern w:val="0"/>
          <w:szCs w:val="21"/>
          <w:highlight w:val="none"/>
          <w:lang w:val="zh-CN"/>
        </w:rPr>
        <w:t>已列入养护计划，施工图设计</w:t>
      </w:r>
      <w:r>
        <w:rPr>
          <w:rFonts w:hint="eastAsia" w:ascii="宋体" w:hAnsi="宋体"/>
          <w:bCs/>
          <w:szCs w:val="21"/>
          <w:highlight w:val="none"/>
        </w:rPr>
        <w:t>已由吉林省公路管理局以</w:t>
      </w:r>
      <w:bookmarkStart w:id="20" w:name="OLE_LINK89"/>
      <w:bookmarkStart w:id="21" w:name="_Hlk186123500"/>
      <w:r>
        <w:rPr>
          <w:rFonts w:hint="eastAsia" w:ascii="宋体" w:hAnsi="宋体"/>
          <w:bCs/>
          <w:szCs w:val="21"/>
          <w:highlight w:val="none"/>
        </w:rPr>
        <w:t>吉公路技</w:t>
      </w:r>
      <w:bookmarkEnd w:id="20"/>
      <w:r>
        <w:rPr>
          <w:rFonts w:hint="eastAsia" w:ascii="宋体" w:hAnsi="宋体"/>
          <w:bCs/>
          <w:szCs w:val="21"/>
          <w:highlight w:val="none"/>
        </w:rPr>
        <w:t>〔2026〕64号</w:t>
      </w:r>
      <w:bookmarkEnd w:id="21"/>
      <w:r>
        <w:rPr>
          <w:rFonts w:hint="eastAsia" w:ascii="宋体" w:hAnsi="宋体"/>
          <w:bCs/>
          <w:szCs w:val="21"/>
          <w:highlight w:val="none"/>
        </w:rPr>
        <w:t>、吉公路技〔2026〕65号、吉公路技〔2026〕70号文件批准，项目法人为吉林省公路管理局，项目实施管理法人及招标人为</w:t>
      </w:r>
      <w:r>
        <w:rPr>
          <w:rFonts w:hint="eastAsia" w:ascii="黑体" w:hAnsi="黑体" w:eastAsia="黑体"/>
          <w:bCs/>
          <w:kern w:val="0"/>
          <w:szCs w:val="21"/>
          <w:highlight w:val="none"/>
          <w:u w:val="single"/>
          <w:lang w:val="zh-CN"/>
        </w:rPr>
        <w:t>延边朝鲜族自治州公路管理处（延边州公路养护工程项目管理办公室）</w:t>
      </w:r>
      <w:r>
        <w:rPr>
          <w:rFonts w:hint="eastAsia" w:ascii="宋体" w:hAnsi="宋体"/>
          <w:bCs/>
          <w:szCs w:val="21"/>
          <w:highlight w:val="none"/>
        </w:rPr>
        <w:t>，建设资金来自财政资金，出资比例为100%。项目已具备招标条件，现对该项目的施工进行公开招标</w:t>
      </w:r>
      <w:r>
        <w:rPr>
          <w:rFonts w:ascii="宋体" w:hAnsi="宋体"/>
          <w:bCs/>
          <w:szCs w:val="21"/>
          <w:highlight w:val="none"/>
        </w:rPr>
        <w:t>。</w:t>
      </w:r>
    </w:p>
    <w:bookmarkEnd w:id="15"/>
    <w:p w14:paraId="5968B30A">
      <w:pPr>
        <w:adjustRightInd w:val="0"/>
        <w:snapToGrid w:val="0"/>
        <w:spacing w:before="120" w:beforeLines="50" w:after="120" w:afterLines="50" w:line="400" w:lineRule="exact"/>
        <w:rPr>
          <w:rFonts w:hint="eastAsia" w:ascii="黑体" w:hAnsi="黑体" w:eastAsia="黑体"/>
          <w:bCs/>
          <w:sz w:val="24"/>
          <w:szCs w:val="24"/>
          <w:highlight w:val="none"/>
        </w:rPr>
      </w:pPr>
      <w:bookmarkStart w:id="22" w:name="_Toc436994094"/>
      <w:r>
        <w:rPr>
          <w:rFonts w:ascii="黑体" w:hAnsi="黑体" w:eastAsia="黑体"/>
          <w:bCs/>
          <w:sz w:val="24"/>
          <w:szCs w:val="24"/>
          <w:highlight w:val="none"/>
        </w:rPr>
        <w:t>2.项目概况与招标范围</w:t>
      </w:r>
      <w:bookmarkEnd w:id="22"/>
    </w:p>
    <w:bookmarkEnd w:id="16"/>
    <w:p w14:paraId="1EF4A47C">
      <w:pPr>
        <w:adjustRightInd w:val="0"/>
        <w:snapToGrid w:val="0"/>
        <w:spacing w:line="400" w:lineRule="exact"/>
        <w:ind w:firstLine="420" w:firstLineChars="200"/>
        <w:jc w:val="left"/>
        <w:rPr>
          <w:rFonts w:hint="eastAsia" w:ascii="宋体" w:hAnsi="宋体"/>
          <w:bCs/>
          <w:szCs w:val="21"/>
          <w:highlight w:val="none"/>
        </w:rPr>
      </w:pPr>
      <w:bookmarkStart w:id="23" w:name="_Hlk186113577"/>
      <w:bookmarkStart w:id="24" w:name="_Toc436994095"/>
      <w:bookmarkStart w:id="25" w:name="_Toc257655328"/>
      <w:bookmarkStart w:id="26" w:name="OLE_LINK51"/>
      <w:r>
        <w:rPr>
          <w:rFonts w:hint="eastAsia" w:ascii="宋体" w:hAnsi="宋体"/>
          <w:bCs/>
          <w:szCs w:val="21"/>
          <w:highlight w:val="none"/>
        </w:rPr>
        <w:t>2.1建设规模及建设地点：</w:t>
      </w:r>
      <w:bookmarkStart w:id="27" w:name="OLE_LINK37"/>
      <w:bookmarkStart w:id="28" w:name="OLE_LINK3"/>
      <w:bookmarkStart w:id="29" w:name="_Hlk186123473"/>
      <w:r>
        <w:rPr>
          <w:rFonts w:hint="eastAsia" w:ascii="宋体" w:hAnsi="宋体"/>
          <w:bCs/>
          <w:szCs w:val="21"/>
          <w:highlight w:val="none"/>
        </w:rPr>
        <w:t>本次招标共包含4个路段，全长93.806公里，具体路线及段落如下：</w:t>
      </w:r>
    </w:p>
    <w:bookmarkEnd w:id="23"/>
    <w:bookmarkEnd w:id="27"/>
    <w:bookmarkEnd w:id="28"/>
    <w:bookmarkEnd w:id="29"/>
    <w:p w14:paraId="3F2B7C5B">
      <w:pPr>
        <w:spacing w:line="400" w:lineRule="exact"/>
        <w:ind w:firstLine="420" w:firstLineChars="200"/>
        <w:rPr>
          <w:rFonts w:hint="eastAsia" w:ascii="黑体" w:hAnsi="黑体" w:eastAsia="黑体"/>
          <w:szCs w:val="21"/>
          <w:highlight w:val="none"/>
        </w:rPr>
      </w:pPr>
      <w:r>
        <w:rPr>
          <w:rFonts w:hint="eastAsia" w:ascii="黑体" w:hAnsi="黑体" w:eastAsia="黑体"/>
          <w:bCs/>
          <w:szCs w:val="21"/>
          <w:highlight w:val="none"/>
        </w:rPr>
        <w:t>（1）延边州20</w:t>
      </w:r>
      <w:r>
        <w:rPr>
          <w:rFonts w:hint="eastAsia" w:ascii="黑体" w:hAnsi="黑体" w:eastAsia="黑体"/>
          <w:szCs w:val="21"/>
          <w:highlight w:val="none"/>
        </w:rPr>
        <w:t>26年G334国道龙东公路开山屯至城管起点段路面提质工程</w:t>
      </w:r>
    </w:p>
    <w:p w14:paraId="024E82C2">
      <w:pPr>
        <w:spacing w:line="400" w:lineRule="exact"/>
        <w:ind w:firstLine="420" w:firstLineChars="200"/>
        <w:rPr>
          <w:rFonts w:hint="eastAsia" w:ascii="宋体" w:hAnsi="宋体"/>
          <w:szCs w:val="21"/>
          <w:highlight w:val="none"/>
        </w:rPr>
      </w:pPr>
      <w:r>
        <w:rPr>
          <w:rFonts w:hint="eastAsia" w:ascii="宋体" w:hAnsi="宋体"/>
          <w:szCs w:val="21"/>
          <w:highlight w:val="none"/>
        </w:rPr>
        <w:t>路段</w:t>
      </w:r>
      <w:r>
        <w:rPr>
          <w:rFonts w:ascii="宋体" w:hAnsi="宋体"/>
          <w:szCs w:val="21"/>
          <w:highlight w:val="none"/>
        </w:rPr>
        <w:t>位于龙井市境内，路线起于开山屯北侧龙东线与丹阿线交汇处，桩号为KO</w:t>
      </w:r>
      <w:r>
        <w:rPr>
          <w:rFonts w:hint="eastAsia" w:ascii="宋体" w:hAnsi="宋体"/>
          <w:szCs w:val="21"/>
          <w:highlight w:val="none"/>
        </w:rPr>
        <w:t>+000</w:t>
      </w:r>
      <w:r>
        <w:rPr>
          <w:rFonts w:ascii="宋体" w:hAnsi="宋体"/>
          <w:szCs w:val="21"/>
          <w:highlight w:val="none"/>
        </w:rPr>
        <w:t>，终点位于龙井市龙东与市政路衔接处，桩号为K33+976，路线全长33.976 公里，采用设计速度60公里/小时的双向两车道二级公路标准，路基宽度10米，路面宽度8.5米。共有中桥2座、小桥3座、涵洞78道，与等级路平面交叉11处，服务区</w:t>
      </w:r>
      <w:r>
        <w:rPr>
          <w:rFonts w:hint="eastAsia" w:ascii="宋体" w:hAnsi="宋体"/>
          <w:szCs w:val="21"/>
          <w:highlight w:val="none"/>
        </w:rPr>
        <w:t>1</w:t>
      </w:r>
      <w:r>
        <w:rPr>
          <w:rFonts w:ascii="宋体" w:hAnsi="宋体"/>
          <w:szCs w:val="21"/>
          <w:highlight w:val="none"/>
        </w:rPr>
        <w:t>处。</w:t>
      </w:r>
    </w:p>
    <w:p w14:paraId="18FAFBD5">
      <w:pPr>
        <w:spacing w:line="400" w:lineRule="exact"/>
        <w:ind w:firstLine="420" w:firstLineChars="200"/>
        <w:rPr>
          <w:rFonts w:hint="eastAsia" w:ascii="黑体" w:hAnsi="黑体" w:eastAsia="黑体"/>
          <w:szCs w:val="21"/>
          <w:highlight w:val="none"/>
        </w:rPr>
      </w:pPr>
      <w:r>
        <w:rPr>
          <w:rFonts w:hint="eastAsia" w:ascii="黑体" w:hAnsi="黑体" w:eastAsia="黑体"/>
          <w:szCs w:val="21"/>
          <w:highlight w:val="none"/>
        </w:rPr>
        <w:t>（2）延边州2026年G334国道龙东公路新建至松江镇北出口段路面提质工程</w:t>
      </w:r>
    </w:p>
    <w:p w14:paraId="6F9BEC6D">
      <w:pPr>
        <w:spacing w:line="400" w:lineRule="exact"/>
        <w:ind w:firstLine="420" w:firstLineChars="200"/>
        <w:rPr>
          <w:rFonts w:hint="eastAsia" w:ascii="宋体" w:hAnsi="宋体"/>
          <w:szCs w:val="21"/>
          <w:highlight w:val="none"/>
        </w:rPr>
      </w:pPr>
      <w:r>
        <w:rPr>
          <w:rFonts w:ascii="宋体" w:hAnsi="宋体"/>
          <w:szCs w:val="21"/>
          <w:highlight w:val="none"/>
        </w:rPr>
        <w:t>路段位于安图县境内，路线起于新建村西侧，桩号为K159+457，经三道村、松花村和松江镇，终点位于松江镇北侧，桩号为K174+ 929，路线全长15.472公里，其中：K159+457～K171+505段采用设计速度60公里/小时的双向两车道二级公路标准，路基宽度9.5米，路面宽度8.0米；K171+505～K174+929段为松江镇过境段，采用设计速度60公里/小时的双向四车道一级公路标准，路基宽度16米，路面宽度16米。共有中桥3座、小桥4座、涵洞 18道，分离式立体交叉1处（主线下穿）、与等级路平交6 处，汽车停靠站6处。</w:t>
      </w:r>
    </w:p>
    <w:p w14:paraId="4BC9FE78">
      <w:pPr>
        <w:spacing w:line="400" w:lineRule="exact"/>
        <w:ind w:firstLine="420" w:firstLineChars="200"/>
        <w:rPr>
          <w:rFonts w:hint="eastAsia" w:ascii="黑体" w:hAnsi="黑体" w:eastAsia="黑体"/>
          <w:szCs w:val="21"/>
          <w:highlight w:val="none"/>
        </w:rPr>
      </w:pPr>
      <w:r>
        <w:rPr>
          <w:rFonts w:hint="eastAsia" w:ascii="黑体" w:hAnsi="黑体" w:eastAsia="黑体"/>
          <w:szCs w:val="21"/>
          <w:highlight w:val="none"/>
        </w:rPr>
        <w:t>（3）延边州2026年S304省道松露公路松江至二道白河段路面提质工程</w:t>
      </w:r>
    </w:p>
    <w:p w14:paraId="1F341896">
      <w:pPr>
        <w:spacing w:line="400" w:lineRule="exact"/>
        <w:ind w:firstLine="420" w:firstLineChars="200"/>
        <w:rPr>
          <w:rFonts w:hint="eastAsia" w:ascii="宋体" w:hAnsi="宋体"/>
          <w:szCs w:val="21"/>
          <w:highlight w:val="none"/>
        </w:rPr>
      </w:pPr>
      <w:r>
        <w:rPr>
          <w:rFonts w:ascii="宋体" w:hAnsi="宋体"/>
          <w:szCs w:val="21"/>
          <w:highlight w:val="none"/>
        </w:rPr>
        <w:t>路段位于安图县境内，路线起于松江镇内松露线与龙东线相交处，桩号为KO+000，经四合村、红丰村，终点与池北大街一级路相接，桩号为K24+297，路线全长24.297公里。其中：KO+000～Kl+752段采用设计速60公里/小时的双向四车道一级公路标准，路基宽度16米，路面宽度16米；Kl+752～K24+297段采用设计速度40公里/小时的双向两车道二级公路标准。共有中桥3座、小桥5座、涵洞26道，分离式立体交叉2处（主线下穿1处、主线上跨1处）、与等级路平面交叉5处。</w:t>
      </w:r>
    </w:p>
    <w:p w14:paraId="2CA007E9">
      <w:pPr>
        <w:spacing w:line="400" w:lineRule="exact"/>
        <w:ind w:firstLine="420" w:firstLineChars="200"/>
        <w:rPr>
          <w:rFonts w:hint="eastAsia" w:ascii="黑体" w:hAnsi="黑体" w:eastAsia="黑体"/>
          <w:szCs w:val="21"/>
          <w:highlight w:val="none"/>
        </w:rPr>
      </w:pPr>
      <w:r>
        <w:rPr>
          <w:rFonts w:hint="eastAsia" w:ascii="黑体" w:hAnsi="黑体" w:eastAsia="黑体"/>
          <w:szCs w:val="21"/>
          <w:highlight w:val="none"/>
        </w:rPr>
        <w:t>（4）</w:t>
      </w:r>
      <w:r>
        <w:rPr>
          <w:rFonts w:ascii="黑体" w:hAnsi="黑体" w:eastAsia="黑体"/>
          <w:szCs w:val="21"/>
          <w:highlight w:val="none"/>
        </w:rPr>
        <w:t>延边州2026年G334国道龙东公路观景台至三道林场段路面提质工程</w:t>
      </w:r>
    </w:p>
    <w:p w14:paraId="125C522F">
      <w:pPr>
        <w:spacing w:line="400" w:lineRule="exact"/>
        <w:ind w:firstLine="420" w:firstLineChars="200"/>
        <w:rPr>
          <w:rFonts w:hint="eastAsia" w:ascii="宋体" w:hAnsi="宋体"/>
          <w:szCs w:val="21"/>
          <w:highlight w:val="none"/>
        </w:rPr>
      </w:pPr>
      <w:r>
        <w:rPr>
          <w:rFonts w:ascii="宋体" w:hAnsi="宋体"/>
          <w:szCs w:val="21"/>
          <w:highlight w:val="none"/>
        </w:rPr>
        <w:t>路段位于和龙市和安图县境内，路线起于和龙市龙东公路观景台，桩号为K131+305，终点位于安图县三道林场，桩号为K151+366，路线全长20.061公里，采用设计速度60 公里/小时的双向两车道二级公路标准，路基宽度10米，路面宽度9米。共有涵洞34道，与等级路平面交叉1处。</w:t>
      </w:r>
    </w:p>
    <w:p w14:paraId="728F7614">
      <w:pPr>
        <w:adjustRightInd w:val="0"/>
        <w:snapToGrid w:val="0"/>
        <w:spacing w:line="400" w:lineRule="exact"/>
        <w:ind w:firstLine="420" w:firstLineChars="200"/>
        <w:jc w:val="left"/>
        <w:rPr>
          <w:rFonts w:hint="eastAsia" w:ascii="宋体" w:hAnsi="宋体"/>
          <w:bCs/>
          <w:szCs w:val="21"/>
          <w:highlight w:val="none"/>
        </w:rPr>
      </w:pPr>
      <w:r>
        <w:rPr>
          <w:rFonts w:hint="eastAsia" w:ascii="宋体" w:hAnsi="宋体"/>
          <w:bCs/>
          <w:szCs w:val="21"/>
          <w:highlight w:val="none"/>
        </w:rPr>
        <w:t>2.2招标范围：</w:t>
      </w:r>
      <w:bookmarkEnd w:id="24"/>
      <w:bookmarkEnd w:id="25"/>
      <w:bookmarkStart w:id="30" w:name="_Toc455238557"/>
      <w:r>
        <w:rPr>
          <w:rFonts w:hint="eastAsia" w:ascii="宋体" w:hAnsi="宋体"/>
          <w:bCs/>
          <w:szCs w:val="21"/>
          <w:highlight w:val="none"/>
        </w:rPr>
        <w:t>经批复的施工图设计及工程量清单范围内所有工程的施工</w:t>
      </w:r>
      <w:r>
        <w:rPr>
          <w:rFonts w:hint="eastAsia" w:ascii="宋体" w:hAnsi="宋体" w:cs="仿宋_GB2312"/>
          <w:bCs/>
          <w:szCs w:val="21"/>
          <w:highlight w:val="none"/>
          <w:lang w:val="zh-CN"/>
        </w:rPr>
        <w:t>。</w:t>
      </w:r>
    </w:p>
    <w:p w14:paraId="04B1D4A1">
      <w:pPr>
        <w:adjustRightInd w:val="0"/>
        <w:snapToGrid w:val="0"/>
        <w:spacing w:line="400" w:lineRule="exact"/>
        <w:ind w:firstLine="420" w:firstLineChars="200"/>
        <w:rPr>
          <w:rFonts w:hint="eastAsia" w:ascii="宋体" w:hAnsi="宋体"/>
          <w:bCs/>
          <w:szCs w:val="21"/>
          <w:highlight w:val="none"/>
        </w:rPr>
      </w:pPr>
      <w:r>
        <w:rPr>
          <w:rFonts w:hint="eastAsia" w:ascii="宋体" w:hAnsi="宋体"/>
          <w:bCs/>
          <w:szCs w:val="21"/>
          <w:highlight w:val="none"/>
        </w:rPr>
        <w:t>2.</w:t>
      </w:r>
      <w:bookmarkStart w:id="31" w:name="_Hlk186033389"/>
      <w:r>
        <w:rPr>
          <w:rFonts w:hint="eastAsia" w:ascii="宋体" w:hAnsi="宋体"/>
          <w:bCs/>
          <w:szCs w:val="21"/>
          <w:highlight w:val="none"/>
        </w:rPr>
        <w:t>3标段划分：</w:t>
      </w:r>
      <w:bookmarkStart w:id="32" w:name="_Hlk186123575"/>
      <w:r>
        <w:rPr>
          <w:rFonts w:hint="eastAsia" w:ascii="宋体" w:hAnsi="宋体"/>
          <w:bCs/>
          <w:szCs w:val="21"/>
          <w:highlight w:val="none"/>
        </w:rPr>
        <w:t>本次</w:t>
      </w:r>
      <w:bookmarkStart w:id="33" w:name="OLE_LINK19"/>
      <w:r>
        <w:rPr>
          <w:rFonts w:hint="eastAsia" w:ascii="宋体" w:hAnsi="宋体"/>
          <w:bCs/>
          <w:szCs w:val="21"/>
          <w:highlight w:val="none"/>
        </w:rPr>
        <w:t>招标划分为6个标段，具体如下：</w:t>
      </w:r>
      <w:bookmarkStart w:id="34" w:name="_Hlk187329178"/>
    </w:p>
    <w:tbl>
      <w:tblPr>
        <w:tblStyle w:val="5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880"/>
        <w:gridCol w:w="989"/>
        <w:gridCol w:w="993"/>
        <w:gridCol w:w="993"/>
        <w:gridCol w:w="1274"/>
        <w:gridCol w:w="849"/>
        <w:gridCol w:w="665"/>
        <w:gridCol w:w="3052"/>
      </w:tblGrid>
      <w:tr w14:paraId="12586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97" w:hRule="atLeast"/>
          <w:jc w:val="center"/>
        </w:trPr>
        <w:tc>
          <w:tcPr>
            <w:tcW w:w="454" w:type="pct"/>
            <w:vAlign w:val="center"/>
          </w:tcPr>
          <w:p w14:paraId="26157966">
            <w:pPr>
              <w:adjustRightInd w:val="0"/>
              <w:snapToGrid w:val="0"/>
              <w:spacing w:line="320" w:lineRule="exact"/>
              <w:jc w:val="center"/>
              <w:rPr>
                <w:rFonts w:hint="eastAsia" w:ascii="宋体" w:hAnsi="宋体"/>
                <w:bCs/>
                <w:sz w:val="18"/>
                <w:szCs w:val="18"/>
                <w:highlight w:val="none"/>
              </w:rPr>
            </w:pPr>
            <w:r>
              <w:rPr>
                <w:rFonts w:hint="eastAsia" w:ascii="宋体" w:hAnsi="宋体"/>
                <w:bCs/>
                <w:sz w:val="18"/>
                <w:szCs w:val="18"/>
                <w:highlight w:val="none"/>
              </w:rPr>
              <w:t>路线名称</w:t>
            </w:r>
          </w:p>
        </w:tc>
        <w:tc>
          <w:tcPr>
            <w:tcW w:w="510" w:type="pct"/>
            <w:vAlign w:val="center"/>
          </w:tcPr>
          <w:p w14:paraId="7523CAAC">
            <w:pPr>
              <w:adjustRightInd w:val="0"/>
              <w:snapToGrid w:val="0"/>
              <w:spacing w:line="320" w:lineRule="exact"/>
              <w:jc w:val="center"/>
              <w:rPr>
                <w:rFonts w:hint="eastAsia" w:ascii="宋体" w:hAnsi="宋体"/>
                <w:bCs/>
                <w:sz w:val="18"/>
                <w:szCs w:val="18"/>
                <w:highlight w:val="none"/>
              </w:rPr>
            </w:pPr>
            <w:r>
              <w:rPr>
                <w:rFonts w:hint="eastAsia" w:ascii="宋体" w:hAnsi="宋体"/>
                <w:bCs/>
                <w:sz w:val="18"/>
                <w:szCs w:val="18"/>
                <w:highlight w:val="none"/>
              </w:rPr>
              <w:t>批复文号</w:t>
            </w:r>
          </w:p>
        </w:tc>
        <w:tc>
          <w:tcPr>
            <w:tcW w:w="512" w:type="pct"/>
            <w:tcBorders>
              <w:top w:val="single" w:color="auto" w:sz="4" w:space="0"/>
              <w:left w:val="single" w:color="auto" w:sz="4" w:space="0"/>
              <w:bottom w:val="single" w:color="auto" w:sz="4" w:space="0"/>
              <w:right w:val="single" w:color="auto" w:sz="4" w:space="0"/>
            </w:tcBorders>
            <w:vAlign w:val="center"/>
          </w:tcPr>
          <w:p w14:paraId="161318DE">
            <w:pPr>
              <w:adjustRightInd w:val="0"/>
              <w:snapToGrid w:val="0"/>
              <w:spacing w:line="320" w:lineRule="exact"/>
              <w:jc w:val="center"/>
              <w:rPr>
                <w:rFonts w:hint="eastAsia" w:ascii="宋体" w:hAnsi="宋体"/>
                <w:bCs/>
                <w:sz w:val="18"/>
                <w:szCs w:val="18"/>
                <w:highlight w:val="none"/>
              </w:rPr>
            </w:pPr>
            <w:r>
              <w:rPr>
                <w:rFonts w:hint="eastAsia" w:ascii="宋体" w:hAnsi="宋体"/>
                <w:bCs/>
                <w:sz w:val="18"/>
                <w:szCs w:val="18"/>
                <w:highlight w:val="none"/>
              </w:rPr>
              <w:t>段落</w:t>
            </w:r>
          </w:p>
        </w:tc>
        <w:tc>
          <w:tcPr>
            <w:tcW w:w="512" w:type="pct"/>
            <w:vAlign w:val="center"/>
          </w:tcPr>
          <w:p w14:paraId="36FE385E">
            <w:pPr>
              <w:adjustRightInd w:val="0"/>
              <w:snapToGrid w:val="0"/>
              <w:spacing w:line="320" w:lineRule="exact"/>
              <w:jc w:val="center"/>
              <w:rPr>
                <w:rFonts w:hint="eastAsia" w:ascii="宋体" w:hAnsi="宋体"/>
                <w:bCs/>
                <w:sz w:val="18"/>
                <w:szCs w:val="18"/>
                <w:highlight w:val="none"/>
              </w:rPr>
            </w:pPr>
            <w:r>
              <w:rPr>
                <w:rFonts w:hint="eastAsia" w:ascii="宋体" w:hAnsi="宋体"/>
                <w:bCs/>
                <w:sz w:val="18"/>
                <w:szCs w:val="18"/>
                <w:highlight w:val="none"/>
              </w:rPr>
              <w:t>施工标段</w:t>
            </w:r>
          </w:p>
        </w:tc>
        <w:tc>
          <w:tcPr>
            <w:tcW w:w="657" w:type="pct"/>
            <w:tcBorders>
              <w:top w:val="single" w:color="auto" w:sz="4" w:space="0"/>
              <w:left w:val="single" w:color="auto" w:sz="4" w:space="0"/>
              <w:bottom w:val="single" w:color="auto" w:sz="4" w:space="0"/>
              <w:right w:val="single" w:color="auto" w:sz="4" w:space="0"/>
            </w:tcBorders>
            <w:vAlign w:val="center"/>
          </w:tcPr>
          <w:p w14:paraId="75ADC0E8">
            <w:pPr>
              <w:adjustRightInd w:val="0"/>
              <w:snapToGrid w:val="0"/>
              <w:spacing w:line="320" w:lineRule="exact"/>
              <w:jc w:val="center"/>
              <w:rPr>
                <w:rFonts w:hint="eastAsia" w:ascii="宋体" w:hAnsi="宋体"/>
                <w:bCs/>
                <w:sz w:val="18"/>
                <w:szCs w:val="18"/>
                <w:highlight w:val="none"/>
              </w:rPr>
            </w:pPr>
            <w:r>
              <w:rPr>
                <w:rFonts w:hint="eastAsia" w:ascii="宋体" w:hAnsi="宋体"/>
                <w:bCs/>
                <w:sz w:val="18"/>
                <w:szCs w:val="18"/>
                <w:highlight w:val="none"/>
              </w:rPr>
              <w:t>起止桩号</w:t>
            </w:r>
          </w:p>
        </w:tc>
        <w:tc>
          <w:tcPr>
            <w:tcW w:w="438" w:type="pct"/>
            <w:tcBorders>
              <w:top w:val="single" w:color="auto" w:sz="4" w:space="0"/>
              <w:left w:val="single" w:color="auto" w:sz="4" w:space="0"/>
              <w:bottom w:val="single" w:color="auto" w:sz="4" w:space="0"/>
              <w:right w:val="single" w:color="auto" w:sz="4" w:space="0"/>
            </w:tcBorders>
            <w:vAlign w:val="center"/>
          </w:tcPr>
          <w:p w14:paraId="25CE7054">
            <w:pPr>
              <w:adjustRightInd w:val="0"/>
              <w:snapToGrid w:val="0"/>
              <w:spacing w:line="320" w:lineRule="exact"/>
              <w:jc w:val="center"/>
              <w:rPr>
                <w:rFonts w:hint="eastAsia" w:ascii="宋体" w:hAnsi="宋体"/>
                <w:bCs/>
                <w:sz w:val="18"/>
                <w:szCs w:val="18"/>
                <w:highlight w:val="none"/>
              </w:rPr>
            </w:pPr>
            <w:r>
              <w:rPr>
                <w:rFonts w:hint="eastAsia" w:ascii="宋体" w:hAnsi="宋体"/>
                <w:bCs/>
                <w:sz w:val="18"/>
                <w:szCs w:val="18"/>
                <w:highlight w:val="none"/>
              </w:rPr>
              <w:t>长度</w:t>
            </w:r>
          </w:p>
          <w:p w14:paraId="7BB81DA7">
            <w:pPr>
              <w:adjustRightInd w:val="0"/>
              <w:snapToGrid w:val="0"/>
              <w:spacing w:line="320" w:lineRule="exact"/>
              <w:jc w:val="center"/>
              <w:rPr>
                <w:rFonts w:hint="eastAsia" w:ascii="宋体" w:hAnsi="宋体"/>
                <w:bCs/>
                <w:sz w:val="18"/>
                <w:szCs w:val="18"/>
                <w:highlight w:val="none"/>
              </w:rPr>
            </w:pPr>
            <w:r>
              <w:rPr>
                <w:rFonts w:hint="eastAsia" w:ascii="宋体" w:hAnsi="宋体"/>
                <w:bCs/>
                <w:sz w:val="18"/>
                <w:szCs w:val="18"/>
                <w:highlight w:val="none"/>
              </w:rPr>
              <w:t>（KM</w:t>
            </w:r>
            <w:r>
              <w:rPr>
                <w:rFonts w:ascii="宋体" w:hAnsi="宋体"/>
                <w:bCs/>
                <w:sz w:val="18"/>
                <w:szCs w:val="18"/>
                <w:highlight w:val="none"/>
              </w:rPr>
              <w:t>）</w:t>
            </w:r>
          </w:p>
        </w:tc>
        <w:tc>
          <w:tcPr>
            <w:tcW w:w="343" w:type="pct"/>
            <w:tcBorders>
              <w:top w:val="single" w:color="auto" w:sz="4" w:space="0"/>
              <w:left w:val="single" w:color="auto" w:sz="4" w:space="0"/>
              <w:bottom w:val="single" w:color="auto" w:sz="4" w:space="0"/>
              <w:right w:val="single" w:color="auto" w:sz="4" w:space="0"/>
            </w:tcBorders>
            <w:vAlign w:val="center"/>
          </w:tcPr>
          <w:p w14:paraId="6DBF5DFB">
            <w:pPr>
              <w:adjustRightInd w:val="0"/>
              <w:snapToGrid w:val="0"/>
              <w:spacing w:line="320" w:lineRule="exact"/>
              <w:jc w:val="center"/>
              <w:rPr>
                <w:rFonts w:hint="eastAsia" w:ascii="宋体" w:hAnsi="宋体"/>
                <w:bCs/>
                <w:sz w:val="18"/>
                <w:szCs w:val="18"/>
                <w:highlight w:val="none"/>
              </w:rPr>
            </w:pPr>
            <w:r>
              <w:rPr>
                <w:rFonts w:hint="eastAsia" w:ascii="宋体" w:hAnsi="宋体"/>
                <w:bCs/>
                <w:sz w:val="18"/>
                <w:szCs w:val="18"/>
                <w:highlight w:val="none"/>
              </w:rPr>
              <w:t>公路</w:t>
            </w:r>
          </w:p>
          <w:p w14:paraId="61569962">
            <w:pPr>
              <w:adjustRightInd w:val="0"/>
              <w:snapToGrid w:val="0"/>
              <w:spacing w:line="320" w:lineRule="exact"/>
              <w:jc w:val="center"/>
              <w:rPr>
                <w:rFonts w:hint="eastAsia" w:ascii="宋体" w:hAnsi="宋体"/>
                <w:bCs/>
                <w:sz w:val="18"/>
                <w:szCs w:val="18"/>
                <w:highlight w:val="none"/>
              </w:rPr>
            </w:pPr>
            <w:r>
              <w:rPr>
                <w:rFonts w:hint="eastAsia" w:ascii="宋体" w:hAnsi="宋体"/>
                <w:bCs/>
                <w:sz w:val="18"/>
                <w:szCs w:val="18"/>
                <w:highlight w:val="none"/>
              </w:rPr>
              <w:t>等级</w:t>
            </w:r>
          </w:p>
        </w:tc>
        <w:tc>
          <w:tcPr>
            <w:tcW w:w="1573" w:type="pct"/>
            <w:tcBorders>
              <w:top w:val="single" w:color="auto" w:sz="4" w:space="0"/>
              <w:left w:val="single" w:color="auto" w:sz="4" w:space="0"/>
              <w:bottom w:val="single" w:color="auto" w:sz="4" w:space="0"/>
              <w:right w:val="single" w:color="auto" w:sz="4" w:space="0"/>
            </w:tcBorders>
            <w:vAlign w:val="center"/>
          </w:tcPr>
          <w:p w14:paraId="52473F69">
            <w:pPr>
              <w:adjustRightInd w:val="0"/>
              <w:snapToGrid w:val="0"/>
              <w:spacing w:line="320" w:lineRule="exact"/>
              <w:jc w:val="center"/>
              <w:rPr>
                <w:rFonts w:hint="eastAsia" w:ascii="宋体" w:hAnsi="宋体"/>
                <w:bCs/>
                <w:sz w:val="18"/>
                <w:szCs w:val="18"/>
                <w:highlight w:val="none"/>
              </w:rPr>
            </w:pPr>
            <w:r>
              <w:rPr>
                <w:rFonts w:hint="eastAsia" w:ascii="宋体" w:hAnsi="宋体"/>
                <w:bCs/>
                <w:sz w:val="18"/>
                <w:szCs w:val="18"/>
                <w:highlight w:val="none"/>
              </w:rPr>
              <w:t>主要工程内容</w:t>
            </w:r>
          </w:p>
        </w:tc>
      </w:tr>
      <w:tr w14:paraId="2EF50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454" w:type="pct"/>
            <w:vMerge w:val="restart"/>
            <w:vAlign w:val="center"/>
          </w:tcPr>
          <w:p w14:paraId="0450A3E6">
            <w:pPr>
              <w:adjustRightInd w:val="0"/>
              <w:snapToGrid w:val="0"/>
              <w:spacing w:line="320" w:lineRule="exact"/>
              <w:jc w:val="center"/>
              <w:rPr>
                <w:rFonts w:hint="eastAsia" w:ascii="宋体" w:hAnsi="宋体"/>
                <w:bCs/>
                <w:sz w:val="18"/>
                <w:szCs w:val="18"/>
                <w:highlight w:val="none"/>
              </w:rPr>
            </w:pPr>
            <w:bookmarkStart w:id="35" w:name="_Hlk187309122"/>
            <w:r>
              <w:rPr>
                <w:rFonts w:hint="eastAsia" w:ascii="宋体" w:hAnsi="宋体"/>
                <w:bCs/>
                <w:sz w:val="18"/>
                <w:szCs w:val="18"/>
                <w:highlight w:val="none"/>
              </w:rPr>
              <w:t>G334</w:t>
            </w:r>
          </w:p>
          <w:p w14:paraId="12230397">
            <w:pPr>
              <w:adjustRightInd w:val="0"/>
              <w:snapToGrid w:val="0"/>
              <w:spacing w:line="320" w:lineRule="exact"/>
              <w:jc w:val="center"/>
              <w:rPr>
                <w:rFonts w:hint="eastAsia" w:ascii="宋体" w:hAnsi="宋体"/>
                <w:bCs/>
                <w:sz w:val="18"/>
                <w:szCs w:val="18"/>
                <w:highlight w:val="none"/>
              </w:rPr>
            </w:pPr>
            <w:r>
              <w:rPr>
                <w:rFonts w:hint="eastAsia" w:ascii="宋体" w:hAnsi="宋体"/>
                <w:bCs/>
                <w:sz w:val="18"/>
                <w:szCs w:val="18"/>
                <w:highlight w:val="none"/>
              </w:rPr>
              <w:t>国道龙东</w:t>
            </w:r>
          </w:p>
          <w:p w14:paraId="292BC34C">
            <w:pPr>
              <w:adjustRightInd w:val="0"/>
              <w:snapToGrid w:val="0"/>
              <w:spacing w:line="320" w:lineRule="exact"/>
              <w:jc w:val="center"/>
              <w:rPr>
                <w:rFonts w:hint="eastAsia" w:ascii="宋体" w:hAnsi="宋体"/>
                <w:bCs/>
                <w:sz w:val="18"/>
                <w:szCs w:val="18"/>
                <w:highlight w:val="none"/>
              </w:rPr>
            </w:pPr>
            <w:r>
              <w:rPr>
                <w:rFonts w:hint="eastAsia" w:ascii="宋体" w:hAnsi="宋体"/>
                <w:bCs/>
                <w:sz w:val="18"/>
                <w:szCs w:val="18"/>
                <w:highlight w:val="none"/>
              </w:rPr>
              <w:t>公路</w:t>
            </w:r>
          </w:p>
        </w:tc>
        <w:tc>
          <w:tcPr>
            <w:tcW w:w="510" w:type="pct"/>
            <w:vMerge w:val="restart"/>
            <w:vAlign w:val="center"/>
          </w:tcPr>
          <w:p w14:paraId="127735AF">
            <w:pPr>
              <w:adjustRightInd w:val="0"/>
              <w:snapToGrid w:val="0"/>
              <w:spacing w:line="320" w:lineRule="exact"/>
              <w:jc w:val="center"/>
              <w:rPr>
                <w:rFonts w:hint="eastAsia" w:ascii="宋体" w:hAnsi="宋体"/>
                <w:bCs/>
                <w:sz w:val="18"/>
                <w:szCs w:val="18"/>
                <w:highlight w:val="none"/>
              </w:rPr>
            </w:pPr>
            <w:r>
              <w:rPr>
                <w:rFonts w:hint="eastAsia" w:ascii="宋体" w:hAnsi="宋体"/>
                <w:bCs/>
                <w:sz w:val="18"/>
                <w:szCs w:val="18"/>
                <w:highlight w:val="none"/>
              </w:rPr>
              <w:t>吉公路技〔2026〕</w:t>
            </w:r>
          </w:p>
          <w:p w14:paraId="520B3A12">
            <w:pPr>
              <w:adjustRightInd w:val="0"/>
              <w:snapToGrid w:val="0"/>
              <w:spacing w:line="320" w:lineRule="exact"/>
              <w:jc w:val="center"/>
              <w:rPr>
                <w:rFonts w:hint="eastAsia" w:ascii="宋体" w:hAnsi="宋体"/>
                <w:bCs/>
                <w:sz w:val="18"/>
                <w:szCs w:val="18"/>
                <w:highlight w:val="none"/>
              </w:rPr>
            </w:pPr>
            <w:r>
              <w:rPr>
                <w:rFonts w:hint="eastAsia" w:ascii="宋体" w:hAnsi="宋体"/>
                <w:bCs/>
                <w:sz w:val="18"/>
                <w:szCs w:val="18"/>
                <w:highlight w:val="none"/>
              </w:rPr>
              <w:t>64号</w:t>
            </w:r>
          </w:p>
        </w:tc>
        <w:tc>
          <w:tcPr>
            <w:tcW w:w="512" w:type="pct"/>
            <w:vMerge w:val="restart"/>
            <w:tcBorders>
              <w:top w:val="single" w:color="auto" w:sz="4" w:space="0"/>
              <w:left w:val="single" w:color="000000" w:sz="4" w:space="0"/>
              <w:right w:val="single" w:color="000000" w:sz="4" w:space="0"/>
            </w:tcBorders>
            <w:vAlign w:val="center"/>
          </w:tcPr>
          <w:p w14:paraId="0FA5F507">
            <w:pPr>
              <w:adjustRightInd w:val="0"/>
              <w:snapToGrid w:val="0"/>
              <w:spacing w:line="320" w:lineRule="exact"/>
              <w:rPr>
                <w:rFonts w:hint="eastAsia" w:ascii="宋体" w:hAnsi="宋体"/>
                <w:bCs/>
                <w:sz w:val="18"/>
                <w:szCs w:val="18"/>
                <w:highlight w:val="none"/>
              </w:rPr>
            </w:pPr>
            <w:r>
              <w:rPr>
                <w:rFonts w:hint="eastAsia" w:ascii="宋体" w:hAnsi="宋体"/>
                <w:bCs/>
                <w:sz w:val="18"/>
                <w:szCs w:val="18"/>
                <w:highlight w:val="none"/>
              </w:rPr>
              <w:t>开山屯至城管起点段</w:t>
            </w:r>
          </w:p>
        </w:tc>
        <w:tc>
          <w:tcPr>
            <w:tcW w:w="512" w:type="pct"/>
            <w:vAlign w:val="center"/>
          </w:tcPr>
          <w:p w14:paraId="192AFDCA">
            <w:pPr>
              <w:adjustRightInd w:val="0"/>
              <w:snapToGrid w:val="0"/>
              <w:spacing w:line="320" w:lineRule="exact"/>
              <w:jc w:val="center"/>
              <w:rPr>
                <w:rFonts w:hint="eastAsia" w:ascii="黑体" w:hAnsi="黑体" w:eastAsia="黑体"/>
                <w:bCs/>
                <w:sz w:val="18"/>
                <w:szCs w:val="18"/>
                <w:highlight w:val="none"/>
              </w:rPr>
            </w:pPr>
            <w:bookmarkStart w:id="36" w:name="OLE_LINK4"/>
            <w:r>
              <w:rPr>
                <w:rFonts w:hint="eastAsia" w:ascii="黑体" w:hAnsi="黑体" w:eastAsia="黑体"/>
                <w:bCs/>
                <w:sz w:val="18"/>
                <w:szCs w:val="18"/>
                <w:highlight w:val="none"/>
              </w:rPr>
              <w:t>YB26</w:t>
            </w:r>
            <w:bookmarkEnd w:id="36"/>
            <w:r>
              <w:rPr>
                <w:rFonts w:hint="eastAsia" w:ascii="黑体" w:hAnsi="黑体" w:eastAsia="黑体"/>
                <w:bCs/>
                <w:sz w:val="18"/>
                <w:szCs w:val="18"/>
                <w:highlight w:val="none"/>
              </w:rPr>
              <w:t>YH03</w:t>
            </w:r>
          </w:p>
        </w:tc>
        <w:tc>
          <w:tcPr>
            <w:tcW w:w="657" w:type="pct"/>
            <w:tcBorders>
              <w:top w:val="single" w:color="auto" w:sz="4" w:space="0"/>
              <w:left w:val="single" w:color="000000" w:sz="4" w:space="0"/>
              <w:bottom w:val="single" w:color="auto" w:sz="4" w:space="0"/>
              <w:right w:val="single" w:color="000000" w:sz="4" w:space="0"/>
            </w:tcBorders>
            <w:vAlign w:val="center"/>
          </w:tcPr>
          <w:p w14:paraId="6CB5CA4F">
            <w:pPr>
              <w:adjustRightInd w:val="0"/>
              <w:snapToGrid w:val="0"/>
              <w:spacing w:line="320" w:lineRule="exact"/>
              <w:jc w:val="center"/>
              <w:rPr>
                <w:rFonts w:hint="eastAsia" w:ascii="宋体" w:hAnsi="宋体"/>
                <w:bCs/>
                <w:sz w:val="18"/>
                <w:szCs w:val="18"/>
                <w:highlight w:val="none"/>
              </w:rPr>
            </w:pPr>
            <w:bookmarkStart w:id="37" w:name="OLE_LINK22"/>
            <w:r>
              <w:rPr>
                <w:rFonts w:hint="eastAsia" w:ascii="宋体" w:hAnsi="宋体"/>
                <w:bCs/>
                <w:sz w:val="18"/>
                <w:szCs w:val="18"/>
                <w:highlight w:val="none"/>
              </w:rPr>
              <w:t>K0+000～K15+500</w:t>
            </w:r>
            <w:bookmarkEnd w:id="37"/>
          </w:p>
        </w:tc>
        <w:tc>
          <w:tcPr>
            <w:tcW w:w="438" w:type="pct"/>
            <w:tcBorders>
              <w:top w:val="single" w:color="auto" w:sz="4" w:space="0"/>
              <w:left w:val="single" w:color="000000" w:sz="4" w:space="0"/>
              <w:bottom w:val="single" w:color="auto" w:sz="4" w:space="0"/>
              <w:right w:val="single" w:color="000000" w:sz="4" w:space="0"/>
            </w:tcBorders>
            <w:vAlign w:val="center"/>
          </w:tcPr>
          <w:p w14:paraId="151F1E74">
            <w:pPr>
              <w:adjustRightInd w:val="0"/>
              <w:snapToGrid w:val="0"/>
              <w:spacing w:line="320" w:lineRule="exact"/>
              <w:jc w:val="center"/>
              <w:rPr>
                <w:rFonts w:hint="eastAsia" w:ascii="宋体" w:hAnsi="宋体"/>
                <w:bCs/>
                <w:sz w:val="18"/>
                <w:szCs w:val="18"/>
                <w:highlight w:val="none"/>
              </w:rPr>
            </w:pPr>
            <w:r>
              <w:rPr>
                <w:rFonts w:hint="eastAsia" w:ascii="宋体" w:hAnsi="宋体"/>
                <w:bCs/>
                <w:sz w:val="18"/>
                <w:szCs w:val="18"/>
                <w:highlight w:val="none"/>
              </w:rPr>
              <w:t>15.5</w:t>
            </w:r>
          </w:p>
        </w:tc>
        <w:tc>
          <w:tcPr>
            <w:tcW w:w="343" w:type="pct"/>
            <w:tcBorders>
              <w:top w:val="single" w:color="auto" w:sz="4" w:space="0"/>
              <w:left w:val="single" w:color="000000" w:sz="4" w:space="0"/>
              <w:bottom w:val="single" w:color="auto" w:sz="4" w:space="0"/>
              <w:right w:val="single" w:color="000000" w:sz="4" w:space="0"/>
            </w:tcBorders>
            <w:vAlign w:val="center"/>
          </w:tcPr>
          <w:p w14:paraId="65E01564">
            <w:pPr>
              <w:adjustRightInd w:val="0"/>
              <w:snapToGrid w:val="0"/>
              <w:spacing w:line="320" w:lineRule="exact"/>
              <w:jc w:val="center"/>
              <w:rPr>
                <w:rFonts w:hint="eastAsia" w:ascii="宋体" w:hAnsi="宋体"/>
                <w:bCs/>
                <w:sz w:val="18"/>
                <w:szCs w:val="18"/>
                <w:highlight w:val="none"/>
              </w:rPr>
            </w:pPr>
            <w:r>
              <w:rPr>
                <w:rFonts w:hint="eastAsia" w:ascii="宋体" w:hAnsi="宋体"/>
                <w:bCs/>
                <w:sz w:val="18"/>
                <w:szCs w:val="18"/>
                <w:highlight w:val="none"/>
              </w:rPr>
              <w:t>二级</w:t>
            </w:r>
          </w:p>
        </w:tc>
        <w:tc>
          <w:tcPr>
            <w:tcW w:w="1573" w:type="pct"/>
            <w:tcBorders>
              <w:top w:val="single" w:color="auto" w:sz="4" w:space="0"/>
              <w:left w:val="single" w:color="000000" w:sz="4" w:space="0"/>
              <w:bottom w:val="single" w:color="auto" w:sz="4" w:space="0"/>
              <w:right w:val="single" w:color="000000" w:sz="4" w:space="0"/>
            </w:tcBorders>
            <w:vAlign w:val="center"/>
          </w:tcPr>
          <w:p w14:paraId="60A18195">
            <w:pPr>
              <w:adjustRightInd w:val="0"/>
              <w:snapToGrid w:val="0"/>
              <w:spacing w:line="320" w:lineRule="exact"/>
              <w:jc w:val="left"/>
              <w:rPr>
                <w:rFonts w:hint="eastAsia" w:ascii="宋体" w:hAnsi="宋体"/>
                <w:bCs/>
                <w:sz w:val="18"/>
                <w:szCs w:val="18"/>
                <w:highlight w:val="none"/>
              </w:rPr>
            </w:pPr>
            <w:bookmarkStart w:id="38" w:name="OLE_LINK48"/>
            <w:bookmarkStart w:id="39" w:name="_Hlk186101553"/>
            <w:r>
              <w:rPr>
                <w:rFonts w:hint="eastAsia" w:ascii="宋体" w:hAnsi="宋体"/>
                <w:bCs/>
                <w:sz w:val="18"/>
                <w:szCs w:val="18"/>
                <w:highlight w:val="none"/>
              </w:rPr>
              <w:t>既有路面提质、安全设施等。</w:t>
            </w:r>
            <w:bookmarkEnd w:id="38"/>
            <w:r>
              <w:rPr>
                <w:rFonts w:ascii="宋体" w:hAnsi="宋体"/>
                <w:bCs/>
                <w:sz w:val="18"/>
                <w:szCs w:val="18"/>
                <w:highlight w:val="none"/>
              </w:rPr>
              <w:t>全段共有中</w:t>
            </w:r>
            <w:r>
              <w:rPr>
                <w:rFonts w:hint="eastAsia" w:ascii="宋体" w:hAnsi="宋体"/>
                <w:bCs/>
                <w:sz w:val="18"/>
                <w:szCs w:val="18"/>
                <w:highlight w:val="none"/>
              </w:rPr>
              <w:t>小</w:t>
            </w:r>
            <w:r>
              <w:rPr>
                <w:rFonts w:ascii="宋体" w:hAnsi="宋体"/>
                <w:bCs/>
                <w:sz w:val="18"/>
                <w:szCs w:val="18"/>
                <w:highlight w:val="none"/>
              </w:rPr>
              <w:t>桥</w:t>
            </w:r>
            <w:r>
              <w:rPr>
                <w:rFonts w:hint="eastAsia" w:ascii="宋体" w:hAnsi="宋体"/>
                <w:bCs/>
                <w:sz w:val="18"/>
                <w:szCs w:val="18"/>
                <w:highlight w:val="none"/>
              </w:rPr>
              <w:t>2</w:t>
            </w:r>
            <w:r>
              <w:rPr>
                <w:rFonts w:ascii="宋体" w:hAnsi="宋体"/>
                <w:bCs/>
                <w:sz w:val="18"/>
                <w:szCs w:val="18"/>
                <w:highlight w:val="none"/>
              </w:rPr>
              <w:t>座</w:t>
            </w:r>
            <w:r>
              <w:rPr>
                <w:rFonts w:hint="eastAsia" w:ascii="宋体" w:hAnsi="宋体"/>
                <w:bCs/>
                <w:sz w:val="18"/>
                <w:szCs w:val="18"/>
                <w:highlight w:val="none"/>
              </w:rPr>
              <w:t>，</w:t>
            </w:r>
            <w:r>
              <w:rPr>
                <w:rFonts w:ascii="宋体" w:hAnsi="宋体"/>
                <w:bCs/>
                <w:sz w:val="18"/>
                <w:szCs w:val="18"/>
                <w:highlight w:val="none"/>
              </w:rPr>
              <w:t>涵洞</w:t>
            </w:r>
            <w:r>
              <w:rPr>
                <w:rFonts w:hint="eastAsia" w:ascii="宋体" w:hAnsi="宋体"/>
                <w:bCs/>
                <w:sz w:val="18"/>
                <w:szCs w:val="18"/>
                <w:highlight w:val="none"/>
              </w:rPr>
              <w:t>30</w:t>
            </w:r>
            <w:r>
              <w:rPr>
                <w:rFonts w:ascii="宋体" w:hAnsi="宋体"/>
                <w:bCs/>
                <w:sz w:val="18"/>
                <w:szCs w:val="18"/>
                <w:highlight w:val="none"/>
              </w:rPr>
              <w:t>道</w:t>
            </w:r>
            <w:r>
              <w:rPr>
                <w:rFonts w:hint="eastAsia" w:ascii="宋体" w:hAnsi="宋体"/>
                <w:bCs/>
                <w:sz w:val="18"/>
                <w:szCs w:val="18"/>
                <w:highlight w:val="none"/>
              </w:rPr>
              <w:t>。</w:t>
            </w:r>
          </w:p>
        </w:tc>
      </w:tr>
      <w:tr w14:paraId="764E0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454" w:type="pct"/>
            <w:vMerge w:val="continue"/>
            <w:vAlign w:val="center"/>
          </w:tcPr>
          <w:p w14:paraId="5CAB2B88">
            <w:pPr>
              <w:adjustRightInd w:val="0"/>
              <w:snapToGrid w:val="0"/>
              <w:spacing w:line="320" w:lineRule="exact"/>
              <w:jc w:val="center"/>
              <w:rPr>
                <w:rFonts w:hint="eastAsia" w:ascii="宋体" w:hAnsi="宋体"/>
                <w:bCs/>
                <w:sz w:val="18"/>
                <w:szCs w:val="18"/>
                <w:highlight w:val="none"/>
              </w:rPr>
            </w:pPr>
          </w:p>
        </w:tc>
        <w:tc>
          <w:tcPr>
            <w:tcW w:w="510" w:type="pct"/>
            <w:vMerge w:val="continue"/>
            <w:vAlign w:val="center"/>
          </w:tcPr>
          <w:p w14:paraId="38E6C404">
            <w:pPr>
              <w:adjustRightInd w:val="0"/>
              <w:snapToGrid w:val="0"/>
              <w:spacing w:line="320" w:lineRule="exact"/>
              <w:jc w:val="center"/>
              <w:rPr>
                <w:rFonts w:hint="eastAsia" w:ascii="宋体" w:hAnsi="宋体"/>
                <w:bCs/>
                <w:sz w:val="18"/>
                <w:szCs w:val="18"/>
                <w:highlight w:val="none"/>
              </w:rPr>
            </w:pPr>
          </w:p>
        </w:tc>
        <w:tc>
          <w:tcPr>
            <w:tcW w:w="512" w:type="pct"/>
            <w:vMerge w:val="continue"/>
            <w:tcBorders>
              <w:left w:val="single" w:color="000000" w:sz="4" w:space="0"/>
              <w:bottom w:val="single" w:color="auto" w:sz="4" w:space="0"/>
              <w:right w:val="single" w:color="000000" w:sz="4" w:space="0"/>
            </w:tcBorders>
            <w:vAlign w:val="center"/>
          </w:tcPr>
          <w:p w14:paraId="2DB1DA79">
            <w:pPr>
              <w:adjustRightInd w:val="0"/>
              <w:snapToGrid w:val="0"/>
              <w:spacing w:line="320" w:lineRule="exact"/>
              <w:jc w:val="center"/>
              <w:rPr>
                <w:rFonts w:hint="eastAsia" w:ascii="宋体" w:hAnsi="宋体"/>
                <w:bCs/>
                <w:sz w:val="18"/>
                <w:szCs w:val="18"/>
                <w:highlight w:val="none"/>
              </w:rPr>
            </w:pPr>
          </w:p>
        </w:tc>
        <w:tc>
          <w:tcPr>
            <w:tcW w:w="512" w:type="pct"/>
            <w:vAlign w:val="center"/>
          </w:tcPr>
          <w:p w14:paraId="21119955">
            <w:pPr>
              <w:adjustRightInd w:val="0"/>
              <w:snapToGrid w:val="0"/>
              <w:spacing w:line="320" w:lineRule="exact"/>
              <w:jc w:val="center"/>
              <w:rPr>
                <w:rFonts w:hint="eastAsia" w:ascii="黑体" w:hAnsi="黑体" w:eastAsia="黑体"/>
                <w:bCs/>
                <w:sz w:val="18"/>
                <w:szCs w:val="18"/>
                <w:highlight w:val="none"/>
              </w:rPr>
            </w:pPr>
            <w:r>
              <w:rPr>
                <w:rFonts w:hint="eastAsia" w:ascii="黑体" w:hAnsi="黑体" w:eastAsia="黑体"/>
                <w:bCs/>
                <w:sz w:val="18"/>
                <w:szCs w:val="18"/>
                <w:highlight w:val="none"/>
              </w:rPr>
              <w:t>YB26YH04</w:t>
            </w:r>
          </w:p>
        </w:tc>
        <w:tc>
          <w:tcPr>
            <w:tcW w:w="657" w:type="pct"/>
            <w:tcBorders>
              <w:top w:val="single" w:color="auto" w:sz="4" w:space="0"/>
              <w:left w:val="single" w:color="000000" w:sz="4" w:space="0"/>
              <w:bottom w:val="single" w:color="auto" w:sz="4" w:space="0"/>
              <w:right w:val="single" w:color="000000" w:sz="4" w:space="0"/>
            </w:tcBorders>
            <w:vAlign w:val="center"/>
          </w:tcPr>
          <w:p w14:paraId="1B17142C">
            <w:pPr>
              <w:adjustRightInd w:val="0"/>
              <w:snapToGrid w:val="0"/>
              <w:spacing w:line="320" w:lineRule="exact"/>
              <w:jc w:val="center"/>
              <w:rPr>
                <w:rFonts w:hint="eastAsia" w:ascii="宋体" w:hAnsi="宋体"/>
                <w:bCs/>
                <w:sz w:val="18"/>
                <w:szCs w:val="18"/>
                <w:highlight w:val="none"/>
              </w:rPr>
            </w:pPr>
            <w:bookmarkStart w:id="40" w:name="OLE_LINK23"/>
            <w:r>
              <w:rPr>
                <w:rFonts w:hint="eastAsia" w:ascii="宋体" w:hAnsi="宋体"/>
                <w:bCs/>
                <w:sz w:val="18"/>
                <w:szCs w:val="18"/>
                <w:highlight w:val="none"/>
              </w:rPr>
              <w:t>K15+500～K33+976.179</w:t>
            </w:r>
            <w:bookmarkEnd w:id="40"/>
          </w:p>
        </w:tc>
        <w:tc>
          <w:tcPr>
            <w:tcW w:w="438" w:type="pct"/>
            <w:tcBorders>
              <w:top w:val="single" w:color="auto" w:sz="4" w:space="0"/>
              <w:left w:val="single" w:color="000000" w:sz="4" w:space="0"/>
              <w:bottom w:val="single" w:color="auto" w:sz="4" w:space="0"/>
              <w:right w:val="single" w:color="000000" w:sz="4" w:space="0"/>
            </w:tcBorders>
            <w:vAlign w:val="center"/>
          </w:tcPr>
          <w:p w14:paraId="5F6DA902">
            <w:pPr>
              <w:adjustRightInd w:val="0"/>
              <w:snapToGrid w:val="0"/>
              <w:spacing w:line="320" w:lineRule="exact"/>
              <w:jc w:val="center"/>
              <w:rPr>
                <w:rFonts w:hint="eastAsia" w:ascii="宋体" w:hAnsi="宋体"/>
                <w:bCs/>
                <w:sz w:val="18"/>
                <w:szCs w:val="18"/>
                <w:highlight w:val="none"/>
              </w:rPr>
            </w:pPr>
            <w:r>
              <w:rPr>
                <w:rFonts w:hint="eastAsia" w:ascii="宋体" w:hAnsi="宋体"/>
                <w:bCs/>
                <w:sz w:val="18"/>
                <w:szCs w:val="18"/>
                <w:highlight w:val="none"/>
              </w:rPr>
              <w:t>18.476</w:t>
            </w:r>
          </w:p>
        </w:tc>
        <w:tc>
          <w:tcPr>
            <w:tcW w:w="343" w:type="pct"/>
            <w:tcBorders>
              <w:top w:val="single" w:color="auto" w:sz="4" w:space="0"/>
              <w:left w:val="single" w:color="000000" w:sz="4" w:space="0"/>
              <w:bottom w:val="single" w:color="auto" w:sz="4" w:space="0"/>
              <w:right w:val="single" w:color="000000" w:sz="4" w:space="0"/>
            </w:tcBorders>
            <w:vAlign w:val="center"/>
          </w:tcPr>
          <w:p w14:paraId="0CF9A771">
            <w:pPr>
              <w:adjustRightInd w:val="0"/>
              <w:snapToGrid w:val="0"/>
              <w:spacing w:line="320" w:lineRule="exact"/>
              <w:jc w:val="center"/>
              <w:rPr>
                <w:rFonts w:hint="eastAsia" w:ascii="宋体" w:hAnsi="宋体"/>
                <w:bCs/>
                <w:sz w:val="18"/>
                <w:szCs w:val="18"/>
                <w:highlight w:val="none"/>
              </w:rPr>
            </w:pPr>
            <w:r>
              <w:rPr>
                <w:rFonts w:hint="eastAsia" w:ascii="宋体" w:hAnsi="宋体"/>
                <w:bCs/>
                <w:sz w:val="18"/>
                <w:szCs w:val="18"/>
                <w:highlight w:val="none"/>
              </w:rPr>
              <w:t>二级</w:t>
            </w:r>
          </w:p>
        </w:tc>
        <w:tc>
          <w:tcPr>
            <w:tcW w:w="1573" w:type="pct"/>
            <w:tcBorders>
              <w:top w:val="single" w:color="auto" w:sz="4" w:space="0"/>
              <w:left w:val="single" w:color="000000" w:sz="4" w:space="0"/>
              <w:bottom w:val="single" w:color="auto" w:sz="4" w:space="0"/>
              <w:right w:val="single" w:color="000000" w:sz="4" w:space="0"/>
            </w:tcBorders>
            <w:vAlign w:val="center"/>
          </w:tcPr>
          <w:p w14:paraId="60995B3D">
            <w:pPr>
              <w:adjustRightInd w:val="0"/>
              <w:snapToGrid w:val="0"/>
              <w:spacing w:line="320" w:lineRule="exact"/>
              <w:jc w:val="left"/>
              <w:rPr>
                <w:rFonts w:hint="eastAsia" w:ascii="宋体" w:hAnsi="宋体"/>
                <w:bCs/>
                <w:sz w:val="18"/>
                <w:szCs w:val="18"/>
                <w:highlight w:val="none"/>
              </w:rPr>
            </w:pPr>
            <w:r>
              <w:rPr>
                <w:rFonts w:hint="eastAsia" w:ascii="宋体" w:hAnsi="宋体"/>
                <w:bCs/>
                <w:sz w:val="18"/>
                <w:szCs w:val="18"/>
                <w:highlight w:val="none"/>
              </w:rPr>
              <w:t>既有路面提质、安全设施等。</w:t>
            </w:r>
            <w:r>
              <w:rPr>
                <w:rFonts w:ascii="宋体" w:hAnsi="宋体"/>
                <w:bCs/>
                <w:sz w:val="18"/>
                <w:szCs w:val="18"/>
                <w:highlight w:val="none"/>
              </w:rPr>
              <w:t>全段共有中</w:t>
            </w:r>
            <w:r>
              <w:rPr>
                <w:rFonts w:hint="eastAsia" w:ascii="宋体" w:hAnsi="宋体"/>
                <w:bCs/>
                <w:sz w:val="18"/>
                <w:szCs w:val="18"/>
                <w:highlight w:val="none"/>
              </w:rPr>
              <w:t>小</w:t>
            </w:r>
            <w:r>
              <w:rPr>
                <w:rFonts w:ascii="宋体" w:hAnsi="宋体"/>
                <w:bCs/>
                <w:sz w:val="18"/>
                <w:szCs w:val="18"/>
                <w:highlight w:val="none"/>
              </w:rPr>
              <w:t>桥</w:t>
            </w:r>
            <w:r>
              <w:rPr>
                <w:rFonts w:hint="eastAsia" w:ascii="宋体" w:hAnsi="宋体"/>
                <w:bCs/>
                <w:sz w:val="18"/>
                <w:szCs w:val="18"/>
                <w:highlight w:val="none"/>
              </w:rPr>
              <w:t>3</w:t>
            </w:r>
            <w:r>
              <w:rPr>
                <w:rFonts w:ascii="宋体" w:hAnsi="宋体"/>
                <w:bCs/>
                <w:sz w:val="18"/>
                <w:szCs w:val="18"/>
                <w:highlight w:val="none"/>
              </w:rPr>
              <w:t>座</w:t>
            </w:r>
            <w:r>
              <w:rPr>
                <w:rFonts w:hint="eastAsia" w:ascii="宋体" w:hAnsi="宋体"/>
                <w:bCs/>
                <w:sz w:val="18"/>
                <w:szCs w:val="18"/>
                <w:highlight w:val="none"/>
              </w:rPr>
              <w:t>，</w:t>
            </w:r>
            <w:r>
              <w:rPr>
                <w:rFonts w:ascii="宋体" w:hAnsi="宋体"/>
                <w:bCs/>
                <w:sz w:val="18"/>
                <w:szCs w:val="18"/>
                <w:highlight w:val="none"/>
              </w:rPr>
              <w:t>涵洞</w:t>
            </w:r>
            <w:r>
              <w:rPr>
                <w:rFonts w:hint="eastAsia" w:ascii="宋体" w:hAnsi="宋体"/>
                <w:bCs/>
                <w:sz w:val="18"/>
                <w:szCs w:val="18"/>
                <w:highlight w:val="none"/>
              </w:rPr>
              <w:t>48</w:t>
            </w:r>
            <w:r>
              <w:rPr>
                <w:rFonts w:ascii="宋体" w:hAnsi="宋体"/>
                <w:bCs/>
                <w:sz w:val="18"/>
                <w:szCs w:val="18"/>
                <w:highlight w:val="none"/>
              </w:rPr>
              <w:t>道</w:t>
            </w:r>
            <w:r>
              <w:rPr>
                <w:rFonts w:hint="eastAsia" w:ascii="宋体" w:hAnsi="宋体"/>
                <w:bCs/>
                <w:sz w:val="18"/>
                <w:szCs w:val="18"/>
                <w:highlight w:val="none"/>
              </w:rPr>
              <w:t>，交调设施1处。</w:t>
            </w:r>
          </w:p>
        </w:tc>
      </w:tr>
      <w:bookmarkEnd w:id="39"/>
      <w:tr w14:paraId="4D86C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454" w:type="pct"/>
            <w:vMerge w:val="continue"/>
            <w:vAlign w:val="center"/>
          </w:tcPr>
          <w:p w14:paraId="286D728F">
            <w:pPr>
              <w:adjustRightInd w:val="0"/>
              <w:snapToGrid w:val="0"/>
              <w:spacing w:line="320" w:lineRule="exact"/>
              <w:jc w:val="center"/>
              <w:rPr>
                <w:rFonts w:hint="eastAsia" w:ascii="宋体" w:hAnsi="宋体"/>
                <w:bCs/>
                <w:sz w:val="18"/>
                <w:szCs w:val="18"/>
                <w:highlight w:val="none"/>
              </w:rPr>
            </w:pPr>
          </w:p>
        </w:tc>
        <w:tc>
          <w:tcPr>
            <w:tcW w:w="510" w:type="pct"/>
            <w:vMerge w:val="continue"/>
            <w:vAlign w:val="center"/>
          </w:tcPr>
          <w:p w14:paraId="337296A1">
            <w:pPr>
              <w:adjustRightInd w:val="0"/>
              <w:snapToGrid w:val="0"/>
              <w:spacing w:line="320" w:lineRule="exact"/>
              <w:jc w:val="center"/>
              <w:rPr>
                <w:rFonts w:hint="eastAsia" w:ascii="宋体" w:hAnsi="宋体"/>
                <w:bCs/>
                <w:sz w:val="18"/>
                <w:szCs w:val="18"/>
                <w:highlight w:val="none"/>
              </w:rPr>
            </w:pPr>
          </w:p>
        </w:tc>
        <w:tc>
          <w:tcPr>
            <w:tcW w:w="512" w:type="pct"/>
            <w:tcBorders>
              <w:top w:val="single" w:color="auto" w:sz="4" w:space="0"/>
              <w:left w:val="single" w:color="000000" w:sz="4" w:space="0"/>
              <w:bottom w:val="single" w:color="auto" w:sz="4" w:space="0"/>
              <w:right w:val="single" w:color="000000" w:sz="4" w:space="0"/>
            </w:tcBorders>
            <w:vAlign w:val="center"/>
          </w:tcPr>
          <w:p w14:paraId="654EB39F">
            <w:pPr>
              <w:adjustRightInd w:val="0"/>
              <w:snapToGrid w:val="0"/>
              <w:spacing w:line="320" w:lineRule="exact"/>
              <w:rPr>
                <w:rFonts w:hint="eastAsia" w:ascii="宋体" w:hAnsi="宋体"/>
                <w:bCs/>
                <w:sz w:val="18"/>
                <w:szCs w:val="18"/>
                <w:highlight w:val="none"/>
              </w:rPr>
            </w:pPr>
            <w:r>
              <w:rPr>
                <w:rFonts w:hint="eastAsia" w:ascii="宋体" w:hAnsi="宋体"/>
                <w:bCs/>
                <w:sz w:val="18"/>
                <w:szCs w:val="18"/>
                <w:highlight w:val="none"/>
              </w:rPr>
              <w:t>新建至松江镇北出口段</w:t>
            </w:r>
          </w:p>
        </w:tc>
        <w:tc>
          <w:tcPr>
            <w:tcW w:w="512" w:type="pct"/>
            <w:vAlign w:val="center"/>
          </w:tcPr>
          <w:p w14:paraId="57FD2BDD">
            <w:pPr>
              <w:adjustRightInd w:val="0"/>
              <w:snapToGrid w:val="0"/>
              <w:spacing w:line="320" w:lineRule="exact"/>
              <w:jc w:val="center"/>
              <w:rPr>
                <w:rFonts w:hint="eastAsia" w:ascii="黑体" w:hAnsi="黑体" w:eastAsia="黑体"/>
                <w:bCs/>
                <w:sz w:val="18"/>
                <w:szCs w:val="18"/>
                <w:highlight w:val="none"/>
              </w:rPr>
            </w:pPr>
            <w:bookmarkStart w:id="41" w:name="OLE_LINK54"/>
            <w:bookmarkStart w:id="42" w:name="OLE_LINK26"/>
            <w:r>
              <w:rPr>
                <w:rFonts w:hint="eastAsia" w:ascii="黑体" w:hAnsi="黑体" w:eastAsia="黑体"/>
                <w:bCs/>
                <w:sz w:val="18"/>
                <w:szCs w:val="18"/>
                <w:highlight w:val="none"/>
              </w:rPr>
              <w:t>YB26</w:t>
            </w:r>
            <w:bookmarkEnd w:id="41"/>
            <w:bookmarkEnd w:id="42"/>
            <w:r>
              <w:rPr>
                <w:rFonts w:hint="eastAsia" w:ascii="黑体" w:hAnsi="黑体" w:eastAsia="黑体"/>
                <w:bCs/>
                <w:sz w:val="18"/>
                <w:szCs w:val="18"/>
                <w:highlight w:val="none"/>
              </w:rPr>
              <w:t>YH05</w:t>
            </w:r>
          </w:p>
        </w:tc>
        <w:tc>
          <w:tcPr>
            <w:tcW w:w="657" w:type="pct"/>
            <w:tcBorders>
              <w:top w:val="single" w:color="auto" w:sz="4" w:space="0"/>
              <w:left w:val="single" w:color="000000" w:sz="4" w:space="0"/>
              <w:bottom w:val="single" w:color="auto" w:sz="4" w:space="0"/>
              <w:right w:val="single" w:color="000000" w:sz="4" w:space="0"/>
            </w:tcBorders>
            <w:vAlign w:val="center"/>
          </w:tcPr>
          <w:p w14:paraId="174DD619">
            <w:pPr>
              <w:adjustRightInd w:val="0"/>
              <w:snapToGrid w:val="0"/>
              <w:spacing w:line="320" w:lineRule="exact"/>
              <w:jc w:val="center"/>
              <w:rPr>
                <w:rFonts w:hint="eastAsia" w:ascii="宋体" w:hAnsi="宋体"/>
                <w:bCs/>
                <w:sz w:val="18"/>
                <w:szCs w:val="18"/>
                <w:highlight w:val="none"/>
              </w:rPr>
            </w:pPr>
            <w:r>
              <w:rPr>
                <w:rFonts w:hint="eastAsia" w:ascii="宋体" w:hAnsi="宋体"/>
                <w:bCs/>
                <w:sz w:val="18"/>
                <w:szCs w:val="18"/>
                <w:highlight w:val="none"/>
              </w:rPr>
              <w:t>K159+457～K174+928.976</w:t>
            </w:r>
          </w:p>
        </w:tc>
        <w:tc>
          <w:tcPr>
            <w:tcW w:w="438" w:type="pct"/>
            <w:tcBorders>
              <w:top w:val="single" w:color="auto" w:sz="4" w:space="0"/>
              <w:left w:val="single" w:color="000000" w:sz="4" w:space="0"/>
              <w:bottom w:val="single" w:color="auto" w:sz="4" w:space="0"/>
              <w:right w:val="single" w:color="000000" w:sz="4" w:space="0"/>
            </w:tcBorders>
            <w:vAlign w:val="center"/>
          </w:tcPr>
          <w:p w14:paraId="201B2FD0">
            <w:pPr>
              <w:adjustRightInd w:val="0"/>
              <w:snapToGrid w:val="0"/>
              <w:spacing w:line="320" w:lineRule="exact"/>
              <w:jc w:val="center"/>
              <w:rPr>
                <w:rFonts w:hint="eastAsia" w:ascii="宋体" w:hAnsi="宋体"/>
                <w:bCs/>
                <w:sz w:val="18"/>
                <w:szCs w:val="18"/>
                <w:highlight w:val="none"/>
              </w:rPr>
            </w:pPr>
            <w:r>
              <w:rPr>
                <w:rFonts w:hint="eastAsia" w:ascii="宋体" w:hAnsi="宋体"/>
                <w:bCs/>
                <w:sz w:val="18"/>
                <w:szCs w:val="18"/>
                <w:highlight w:val="none"/>
              </w:rPr>
              <w:t>15.472</w:t>
            </w:r>
          </w:p>
        </w:tc>
        <w:tc>
          <w:tcPr>
            <w:tcW w:w="343" w:type="pct"/>
            <w:tcBorders>
              <w:top w:val="single" w:color="auto" w:sz="4" w:space="0"/>
              <w:left w:val="single" w:color="000000" w:sz="4" w:space="0"/>
              <w:bottom w:val="single" w:color="auto" w:sz="4" w:space="0"/>
              <w:right w:val="single" w:color="000000" w:sz="4" w:space="0"/>
            </w:tcBorders>
            <w:vAlign w:val="center"/>
          </w:tcPr>
          <w:p w14:paraId="5B050789">
            <w:pPr>
              <w:adjustRightInd w:val="0"/>
              <w:snapToGrid w:val="0"/>
              <w:spacing w:line="320" w:lineRule="exact"/>
              <w:jc w:val="center"/>
              <w:rPr>
                <w:rFonts w:hint="eastAsia" w:ascii="宋体" w:hAnsi="宋体"/>
                <w:bCs/>
                <w:sz w:val="18"/>
                <w:szCs w:val="18"/>
                <w:highlight w:val="none"/>
              </w:rPr>
            </w:pPr>
            <w:r>
              <w:rPr>
                <w:rFonts w:hint="eastAsia" w:ascii="宋体" w:hAnsi="宋体"/>
                <w:bCs/>
                <w:sz w:val="18"/>
                <w:szCs w:val="18"/>
                <w:highlight w:val="none"/>
              </w:rPr>
              <w:t>一级及</w:t>
            </w:r>
          </w:p>
          <w:p w14:paraId="4E05F0EA">
            <w:pPr>
              <w:adjustRightInd w:val="0"/>
              <w:snapToGrid w:val="0"/>
              <w:spacing w:line="320" w:lineRule="exact"/>
              <w:jc w:val="center"/>
              <w:rPr>
                <w:rFonts w:hint="eastAsia" w:ascii="宋体" w:hAnsi="宋体"/>
                <w:bCs/>
                <w:sz w:val="18"/>
                <w:szCs w:val="18"/>
                <w:highlight w:val="none"/>
              </w:rPr>
            </w:pPr>
            <w:r>
              <w:rPr>
                <w:rFonts w:hint="eastAsia" w:ascii="宋体" w:hAnsi="宋体"/>
                <w:bCs/>
                <w:sz w:val="18"/>
                <w:szCs w:val="18"/>
                <w:highlight w:val="none"/>
              </w:rPr>
              <w:t>二级</w:t>
            </w:r>
          </w:p>
        </w:tc>
        <w:tc>
          <w:tcPr>
            <w:tcW w:w="1573" w:type="pct"/>
            <w:tcBorders>
              <w:top w:val="single" w:color="auto" w:sz="4" w:space="0"/>
              <w:left w:val="single" w:color="000000" w:sz="4" w:space="0"/>
              <w:bottom w:val="single" w:color="auto" w:sz="4" w:space="0"/>
              <w:right w:val="single" w:color="000000" w:sz="4" w:space="0"/>
            </w:tcBorders>
            <w:vAlign w:val="center"/>
          </w:tcPr>
          <w:p w14:paraId="54F81D3E">
            <w:pPr>
              <w:adjustRightInd w:val="0"/>
              <w:snapToGrid w:val="0"/>
              <w:spacing w:line="320" w:lineRule="exact"/>
              <w:jc w:val="left"/>
              <w:rPr>
                <w:rFonts w:hint="eastAsia" w:ascii="宋体" w:hAnsi="宋体"/>
                <w:bCs/>
                <w:sz w:val="18"/>
                <w:szCs w:val="18"/>
                <w:highlight w:val="none"/>
              </w:rPr>
            </w:pPr>
            <w:r>
              <w:rPr>
                <w:rFonts w:hint="eastAsia" w:ascii="宋体" w:hAnsi="宋体"/>
                <w:bCs/>
                <w:sz w:val="18"/>
                <w:szCs w:val="18"/>
                <w:highlight w:val="none"/>
              </w:rPr>
              <w:t>既有路面提质、安全设施等。</w:t>
            </w:r>
            <w:r>
              <w:rPr>
                <w:rFonts w:ascii="宋体" w:hAnsi="宋体"/>
                <w:bCs/>
                <w:sz w:val="18"/>
                <w:szCs w:val="18"/>
                <w:highlight w:val="none"/>
              </w:rPr>
              <w:t>全段共有中</w:t>
            </w:r>
            <w:r>
              <w:rPr>
                <w:rFonts w:hint="eastAsia" w:ascii="宋体" w:hAnsi="宋体"/>
                <w:bCs/>
                <w:sz w:val="18"/>
                <w:szCs w:val="18"/>
                <w:highlight w:val="none"/>
              </w:rPr>
              <w:t>小</w:t>
            </w:r>
            <w:r>
              <w:rPr>
                <w:rFonts w:ascii="宋体" w:hAnsi="宋体"/>
                <w:bCs/>
                <w:sz w:val="18"/>
                <w:szCs w:val="18"/>
                <w:highlight w:val="none"/>
              </w:rPr>
              <w:t>桥</w:t>
            </w:r>
            <w:r>
              <w:rPr>
                <w:rFonts w:hint="eastAsia" w:ascii="宋体" w:hAnsi="宋体"/>
                <w:bCs/>
                <w:sz w:val="18"/>
                <w:szCs w:val="18"/>
                <w:highlight w:val="none"/>
              </w:rPr>
              <w:t>7</w:t>
            </w:r>
            <w:r>
              <w:rPr>
                <w:rFonts w:ascii="宋体" w:hAnsi="宋体"/>
                <w:bCs/>
                <w:sz w:val="18"/>
                <w:szCs w:val="18"/>
                <w:highlight w:val="none"/>
              </w:rPr>
              <w:t>座</w:t>
            </w:r>
            <w:r>
              <w:rPr>
                <w:rFonts w:hint="eastAsia" w:ascii="宋体" w:hAnsi="宋体"/>
                <w:bCs/>
                <w:sz w:val="18"/>
                <w:szCs w:val="18"/>
                <w:highlight w:val="none"/>
              </w:rPr>
              <w:t>，</w:t>
            </w:r>
            <w:r>
              <w:rPr>
                <w:rFonts w:ascii="宋体" w:hAnsi="宋体"/>
                <w:bCs/>
                <w:sz w:val="18"/>
                <w:szCs w:val="18"/>
                <w:highlight w:val="none"/>
              </w:rPr>
              <w:t>涵洞</w:t>
            </w:r>
            <w:r>
              <w:rPr>
                <w:rFonts w:hint="eastAsia" w:ascii="宋体" w:hAnsi="宋体"/>
                <w:bCs/>
                <w:sz w:val="18"/>
                <w:szCs w:val="18"/>
                <w:highlight w:val="none"/>
              </w:rPr>
              <w:t>18</w:t>
            </w:r>
            <w:r>
              <w:rPr>
                <w:rFonts w:ascii="宋体" w:hAnsi="宋体"/>
                <w:bCs/>
                <w:sz w:val="18"/>
                <w:szCs w:val="18"/>
                <w:highlight w:val="none"/>
              </w:rPr>
              <w:t>道</w:t>
            </w:r>
            <w:r>
              <w:rPr>
                <w:rFonts w:hint="eastAsia" w:ascii="宋体" w:hAnsi="宋体"/>
                <w:bCs/>
                <w:sz w:val="18"/>
                <w:szCs w:val="18"/>
                <w:highlight w:val="none"/>
              </w:rPr>
              <w:t>，交调设施1处。</w:t>
            </w:r>
          </w:p>
        </w:tc>
      </w:tr>
      <w:tr w14:paraId="11C0D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454" w:type="pct"/>
            <w:vMerge w:val="restart"/>
            <w:vAlign w:val="center"/>
          </w:tcPr>
          <w:p w14:paraId="0A7A6F79">
            <w:pPr>
              <w:adjustRightInd w:val="0"/>
              <w:snapToGrid w:val="0"/>
              <w:spacing w:line="320" w:lineRule="exact"/>
              <w:jc w:val="center"/>
              <w:rPr>
                <w:rFonts w:hint="eastAsia" w:ascii="宋体" w:hAnsi="宋体"/>
                <w:bCs/>
                <w:sz w:val="18"/>
                <w:szCs w:val="18"/>
                <w:highlight w:val="none"/>
              </w:rPr>
            </w:pPr>
            <w:r>
              <w:rPr>
                <w:rFonts w:hint="eastAsia" w:ascii="宋体" w:hAnsi="宋体"/>
                <w:bCs/>
                <w:sz w:val="18"/>
                <w:szCs w:val="18"/>
                <w:highlight w:val="none"/>
              </w:rPr>
              <w:t>S304</w:t>
            </w:r>
          </w:p>
          <w:p w14:paraId="0977696A">
            <w:pPr>
              <w:adjustRightInd w:val="0"/>
              <w:snapToGrid w:val="0"/>
              <w:spacing w:line="320" w:lineRule="exact"/>
              <w:jc w:val="center"/>
              <w:rPr>
                <w:rFonts w:hint="eastAsia" w:ascii="宋体" w:hAnsi="宋体"/>
                <w:bCs/>
                <w:sz w:val="18"/>
                <w:szCs w:val="18"/>
                <w:highlight w:val="none"/>
              </w:rPr>
            </w:pPr>
            <w:r>
              <w:rPr>
                <w:rFonts w:hint="eastAsia" w:ascii="宋体" w:hAnsi="宋体"/>
                <w:bCs/>
                <w:sz w:val="18"/>
                <w:szCs w:val="18"/>
                <w:highlight w:val="none"/>
              </w:rPr>
              <w:t>省道松露</w:t>
            </w:r>
          </w:p>
          <w:p w14:paraId="235045F1">
            <w:pPr>
              <w:adjustRightInd w:val="0"/>
              <w:snapToGrid w:val="0"/>
              <w:spacing w:line="320" w:lineRule="exact"/>
              <w:jc w:val="center"/>
              <w:rPr>
                <w:rFonts w:hint="eastAsia" w:ascii="宋体" w:hAnsi="宋体"/>
                <w:bCs/>
                <w:sz w:val="18"/>
                <w:szCs w:val="18"/>
                <w:highlight w:val="none"/>
              </w:rPr>
            </w:pPr>
            <w:r>
              <w:rPr>
                <w:rFonts w:hint="eastAsia" w:ascii="宋体" w:hAnsi="宋体"/>
                <w:bCs/>
                <w:sz w:val="18"/>
                <w:szCs w:val="18"/>
                <w:highlight w:val="none"/>
              </w:rPr>
              <w:t>公路</w:t>
            </w:r>
          </w:p>
        </w:tc>
        <w:tc>
          <w:tcPr>
            <w:tcW w:w="510" w:type="pct"/>
            <w:vMerge w:val="restart"/>
            <w:vAlign w:val="center"/>
          </w:tcPr>
          <w:p w14:paraId="4F8A12D2">
            <w:pPr>
              <w:adjustRightInd w:val="0"/>
              <w:snapToGrid w:val="0"/>
              <w:spacing w:line="320" w:lineRule="exact"/>
              <w:jc w:val="center"/>
              <w:rPr>
                <w:rFonts w:hint="eastAsia" w:ascii="宋体" w:hAnsi="宋体"/>
                <w:bCs/>
                <w:sz w:val="18"/>
                <w:szCs w:val="18"/>
                <w:highlight w:val="none"/>
              </w:rPr>
            </w:pPr>
            <w:r>
              <w:rPr>
                <w:rFonts w:hint="eastAsia" w:ascii="宋体" w:hAnsi="宋体"/>
                <w:bCs/>
                <w:sz w:val="18"/>
                <w:szCs w:val="18"/>
                <w:highlight w:val="none"/>
              </w:rPr>
              <w:t>吉公路技〔2026〕</w:t>
            </w:r>
          </w:p>
          <w:p w14:paraId="5B688B0D">
            <w:pPr>
              <w:adjustRightInd w:val="0"/>
              <w:snapToGrid w:val="0"/>
              <w:spacing w:line="320" w:lineRule="exact"/>
              <w:jc w:val="center"/>
              <w:rPr>
                <w:rFonts w:hint="eastAsia" w:ascii="宋体" w:hAnsi="宋体"/>
                <w:bCs/>
                <w:sz w:val="18"/>
                <w:szCs w:val="18"/>
                <w:highlight w:val="none"/>
              </w:rPr>
            </w:pPr>
            <w:r>
              <w:rPr>
                <w:rFonts w:hint="eastAsia" w:ascii="宋体" w:hAnsi="宋体"/>
                <w:bCs/>
                <w:sz w:val="18"/>
                <w:szCs w:val="18"/>
                <w:highlight w:val="none"/>
              </w:rPr>
              <w:t>65号</w:t>
            </w:r>
          </w:p>
        </w:tc>
        <w:tc>
          <w:tcPr>
            <w:tcW w:w="512" w:type="pct"/>
            <w:vMerge w:val="restart"/>
            <w:tcBorders>
              <w:top w:val="single" w:color="auto" w:sz="4" w:space="0"/>
              <w:left w:val="single" w:color="000000" w:sz="4" w:space="0"/>
              <w:right w:val="single" w:color="000000" w:sz="4" w:space="0"/>
            </w:tcBorders>
            <w:vAlign w:val="center"/>
          </w:tcPr>
          <w:p w14:paraId="0A645055">
            <w:pPr>
              <w:adjustRightInd w:val="0"/>
              <w:snapToGrid w:val="0"/>
              <w:spacing w:line="320" w:lineRule="exact"/>
              <w:rPr>
                <w:rFonts w:hint="eastAsia" w:ascii="宋体" w:hAnsi="宋体"/>
                <w:bCs/>
                <w:sz w:val="18"/>
                <w:szCs w:val="18"/>
                <w:highlight w:val="none"/>
              </w:rPr>
            </w:pPr>
            <w:bookmarkStart w:id="43" w:name="OLE_LINK27"/>
            <w:r>
              <w:rPr>
                <w:rFonts w:hint="eastAsia" w:ascii="宋体" w:hAnsi="宋体"/>
                <w:bCs/>
                <w:sz w:val="18"/>
                <w:szCs w:val="18"/>
                <w:highlight w:val="none"/>
              </w:rPr>
              <w:t>松江至二道白河段</w:t>
            </w:r>
            <w:bookmarkEnd w:id="43"/>
          </w:p>
        </w:tc>
        <w:tc>
          <w:tcPr>
            <w:tcW w:w="512" w:type="pct"/>
            <w:vAlign w:val="center"/>
          </w:tcPr>
          <w:p w14:paraId="640016EE">
            <w:pPr>
              <w:adjustRightInd w:val="0"/>
              <w:snapToGrid w:val="0"/>
              <w:spacing w:line="320" w:lineRule="exact"/>
              <w:jc w:val="center"/>
              <w:rPr>
                <w:rFonts w:hint="eastAsia" w:ascii="黑体" w:hAnsi="黑体" w:eastAsia="黑体"/>
                <w:bCs/>
                <w:sz w:val="18"/>
                <w:szCs w:val="18"/>
                <w:highlight w:val="none"/>
              </w:rPr>
            </w:pPr>
            <w:r>
              <w:rPr>
                <w:rFonts w:hint="eastAsia" w:ascii="黑体" w:hAnsi="黑体" w:eastAsia="黑体"/>
                <w:bCs/>
                <w:sz w:val="18"/>
                <w:szCs w:val="18"/>
                <w:highlight w:val="none"/>
              </w:rPr>
              <w:t>YB26YH06</w:t>
            </w:r>
          </w:p>
        </w:tc>
        <w:tc>
          <w:tcPr>
            <w:tcW w:w="657" w:type="pct"/>
            <w:tcBorders>
              <w:top w:val="single" w:color="auto" w:sz="4" w:space="0"/>
              <w:left w:val="single" w:color="000000" w:sz="4" w:space="0"/>
              <w:bottom w:val="single" w:color="auto" w:sz="4" w:space="0"/>
              <w:right w:val="single" w:color="000000" w:sz="4" w:space="0"/>
            </w:tcBorders>
            <w:vAlign w:val="center"/>
          </w:tcPr>
          <w:p w14:paraId="456A74AA">
            <w:pPr>
              <w:adjustRightInd w:val="0"/>
              <w:snapToGrid w:val="0"/>
              <w:spacing w:line="320" w:lineRule="exact"/>
              <w:jc w:val="center"/>
              <w:rPr>
                <w:rFonts w:hint="eastAsia" w:ascii="宋体" w:hAnsi="宋体"/>
                <w:bCs/>
                <w:sz w:val="18"/>
                <w:szCs w:val="18"/>
                <w:highlight w:val="none"/>
              </w:rPr>
            </w:pPr>
            <w:bookmarkStart w:id="44" w:name="OLE_LINK24"/>
            <w:r>
              <w:rPr>
                <w:rFonts w:hint="eastAsia" w:ascii="宋体" w:hAnsi="宋体"/>
                <w:bCs/>
                <w:sz w:val="18"/>
                <w:szCs w:val="18"/>
                <w:highlight w:val="none"/>
              </w:rPr>
              <w:t>K0+000～K12+100</w:t>
            </w:r>
            <w:bookmarkEnd w:id="44"/>
          </w:p>
        </w:tc>
        <w:tc>
          <w:tcPr>
            <w:tcW w:w="438" w:type="pct"/>
            <w:tcBorders>
              <w:top w:val="single" w:color="auto" w:sz="4" w:space="0"/>
              <w:left w:val="single" w:color="000000" w:sz="4" w:space="0"/>
              <w:bottom w:val="single" w:color="auto" w:sz="4" w:space="0"/>
              <w:right w:val="single" w:color="000000" w:sz="4" w:space="0"/>
            </w:tcBorders>
            <w:vAlign w:val="center"/>
          </w:tcPr>
          <w:p w14:paraId="200A88E8">
            <w:pPr>
              <w:adjustRightInd w:val="0"/>
              <w:snapToGrid w:val="0"/>
              <w:spacing w:line="320" w:lineRule="exact"/>
              <w:jc w:val="center"/>
              <w:rPr>
                <w:rFonts w:hint="eastAsia" w:ascii="宋体" w:hAnsi="宋体"/>
                <w:bCs/>
                <w:sz w:val="18"/>
                <w:szCs w:val="18"/>
                <w:highlight w:val="none"/>
              </w:rPr>
            </w:pPr>
            <w:r>
              <w:rPr>
                <w:rFonts w:hint="eastAsia" w:ascii="宋体" w:hAnsi="宋体"/>
                <w:bCs/>
                <w:sz w:val="18"/>
                <w:szCs w:val="18"/>
                <w:highlight w:val="none"/>
              </w:rPr>
              <w:t>12.100</w:t>
            </w:r>
          </w:p>
        </w:tc>
        <w:tc>
          <w:tcPr>
            <w:tcW w:w="343" w:type="pct"/>
            <w:tcBorders>
              <w:top w:val="single" w:color="auto" w:sz="4" w:space="0"/>
              <w:left w:val="single" w:color="000000" w:sz="4" w:space="0"/>
              <w:bottom w:val="single" w:color="auto" w:sz="4" w:space="0"/>
              <w:right w:val="single" w:color="000000" w:sz="4" w:space="0"/>
            </w:tcBorders>
            <w:vAlign w:val="center"/>
          </w:tcPr>
          <w:p w14:paraId="0353F9BA">
            <w:pPr>
              <w:adjustRightInd w:val="0"/>
              <w:snapToGrid w:val="0"/>
              <w:spacing w:line="320" w:lineRule="exact"/>
              <w:jc w:val="center"/>
              <w:rPr>
                <w:rFonts w:hint="eastAsia" w:ascii="宋体" w:hAnsi="宋体"/>
                <w:bCs/>
                <w:sz w:val="18"/>
                <w:szCs w:val="18"/>
                <w:highlight w:val="none"/>
              </w:rPr>
            </w:pPr>
            <w:r>
              <w:rPr>
                <w:rFonts w:hint="eastAsia" w:ascii="宋体" w:hAnsi="宋体"/>
                <w:bCs/>
                <w:sz w:val="18"/>
                <w:szCs w:val="18"/>
                <w:highlight w:val="none"/>
              </w:rPr>
              <w:t>一级及</w:t>
            </w:r>
          </w:p>
          <w:p w14:paraId="7208F5BE">
            <w:pPr>
              <w:adjustRightInd w:val="0"/>
              <w:snapToGrid w:val="0"/>
              <w:spacing w:line="320" w:lineRule="exact"/>
              <w:jc w:val="center"/>
              <w:rPr>
                <w:rFonts w:hint="eastAsia" w:ascii="宋体" w:hAnsi="宋体"/>
                <w:bCs/>
                <w:sz w:val="18"/>
                <w:szCs w:val="18"/>
                <w:highlight w:val="none"/>
              </w:rPr>
            </w:pPr>
            <w:r>
              <w:rPr>
                <w:rFonts w:hint="eastAsia" w:ascii="宋体" w:hAnsi="宋体"/>
                <w:bCs/>
                <w:sz w:val="18"/>
                <w:szCs w:val="18"/>
                <w:highlight w:val="none"/>
              </w:rPr>
              <w:t>二级</w:t>
            </w:r>
          </w:p>
        </w:tc>
        <w:tc>
          <w:tcPr>
            <w:tcW w:w="1573" w:type="pct"/>
            <w:tcBorders>
              <w:top w:val="single" w:color="auto" w:sz="4" w:space="0"/>
              <w:left w:val="single" w:color="000000" w:sz="4" w:space="0"/>
              <w:bottom w:val="single" w:color="auto" w:sz="4" w:space="0"/>
              <w:right w:val="single" w:color="000000" w:sz="4" w:space="0"/>
            </w:tcBorders>
            <w:vAlign w:val="center"/>
          </w:tcPr>
          <w:p w14:paraId="5CC8786D">
            <w:pPr>
              <w:adjustRightInd w:val="0"/>
              <w:snapToGrid w:val="0"/>
              <w:spacing w:line="320" w:lineRule="exact"/>
              <w:jc w:val="left"/>
              <w:rPr>
                <w:rFonts w:hint="eastAsia" w:ascii="宋体" w:hAnsi="宋体"/>
                <w:bCs/>
                <w:sz w:val="18"/>
                <w:szCs w:val="18"/>
                <w:highlight w:val="none"/>
              </w:rPr>
            </w:pPr>
            <w:r>
              <w:rPr>
                <w:rFonts w:hint="eastAsia" w:ascii="宋体" w:hAnsi="宋体"/>
                <w:bCs/>
                <w:sz w:val="18"/>
                <w:szCs w:val="18"/>
                <w:highlight w:val="none"/>
              </w:rPr>
              <w:t>既有路面提质、安全设施等。</w:t>
            </w:r>
            <w:r>
              <w:rPr>
                <w:rFonts w:ascii="宋体" w:hAnsi="宋体"/>
                <w:bCs/>
                <w:sz w:val="18"/>
                <w:szCs w:val="18"/>
                <w:highlight w:val="none"/>
              </w:rPr>
              <w:t>全段共有中</w:t>
            </w:r>
            <w:r>
              <w:rPr>
                <w:rFonts w:hint="eastAsia" w:ascii="宋体" w:hAnsi="宋体"/>
                <w:bCs/>
                <w:sz w:val="18"/>
                <w:szCs w:val="18"/>
                <w:highlight w:val="none"/>
              </w:rPr>
              <w:t>小</w:t>
            </w:r>
            <w:r>
              <w:rPr>
                <w:rFonts w:ascii="宋体" w:hAnsi="宋体"/>
                <w:bCs/>
                <w:sz w:val="18"/>
                <w:szCs w:val="18"/>
                <w:highlight w:val="none"/>
              </w:rPr>
              <w:t>桥</w:t>
            </w:r>
            <w:r>
              <w:rPr>
                <w:rFonts w:hint="eastAsia" w:ascii="宋体" w:hAnsi="宋体"/>
                <w:bCs/>
                <w:sz w:val="18"/>
                <w:szCs w:val="18"/>
                <w:highlight w:val="none"/>
              </w:rPr>
              <w:t>4</w:t>
            </w:r>
            <w:r>
              <w:rPr>
                <w:rFonts w:ascii="宋体" w:hAnsi="宋体"/>
                <w:bCs/>
                <w:sz w:val="18"/>
                <w:szCs w:val="18"/>
                <w:highlight w:val="none"/>
              </w:rPr>
              <w:t>座</w:t>
            </w:r>
            <w:r>
              <w:rPr>
                <w:rFonts w:hint="eastAsia" w:ascii="宋体" w:hAnsi="宋体"/>
                <w:bCs/>
                <w:sz w:val="18"/>
                <w:szCs w:val="18"/>
                <w:highlight w:val="none"/>
              </w:rPr>
              <w:t>，</w:t>
            </w:r>
            <w:r>
              <w:rPr>
                <w:rFonts w:ascii="宋体" w:hAnsi="宋体"/>
                <w:bCs/>
                <w:sz w:val="18"/>
                <w:szCs w:val="18"/>
                <w:highlight w:val="none"/>
              </w:rPr>
              <w:t>涵洞</w:t>
            </w:r>
            <w:r>
              <w:rPr>
                <w:rFonts w:hint="eastAsia" w:ascii="宋体" w:hAnsi="宋体"/>
                <w:bCs/>
                <w:sz w:val="18"/>
                <w:szCs w:val="18"/>
                <w:highlight w:val="none"/>
              </w:rPr>
              <w:t>13</w:t>
            </w:r>
            <w:r>
              <w:rPr>
                <w:rFonts w:ascii="宋体" w:hAnsi="宋体"/>
                <w:bCs/>
                <w:sz w:val="18"/>
                <w:szCs w:val="18"/>
                <w:highlight w:val="none"/>
              </w:rPr>
              <w:t>道</w:t>
            </w:r>
            <w:r>
              <w:rPr>
                <w:rFonts w:hint="eastAsia" w:ascii="宋体" w:hAnsi="宋体"/>
                <w:bCs/>
                <w:sz w:val="18"/>
                <w:szCs w:val="18"/>
                <w:highlight w:val="none"/>
              </w:rPr>
              <w:t>。</w:t>
            </w:r>
          </w:p>
        </w:tc>
      </w:tr>
      <w:tr w14:paraId="0F887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454" w:type="pct"/>
            <w:vMerge w:val="continue"/>
            <w:vAlign w:val="center"/>
          </w:tcPr>
          <w:p w14:paraId="4570E7DB">
            <w:pPr>
              <w:adjustRightInd w:val="0"/>
              <w:snapToGrid w:val="0"/>
              <w:spacing w:line="320" w:lineRule="exact"/>
              <w:jc w:val="center"/>
              <w:rPr>
                <w:rFonts w:hint="eastAsia" w:ascii="宋体" w:hAnsi="宋体"/>
                <w:bCs/>
                <w:sz w:val="18"/>
                <w:szCs w:val="18"/>
                <w:highlight w:val="none"/>
              </w:rPr>
            </w:pPr>
          </w:p>
        </w:tc>
        <w:tc>
          <w:tcPr>
            <w:tcW w:w="510" w:type="pct"/>
            <w:vMerge w:val="continue"/>
            <w:vAlign w:val="center"/>
          </w:tcPr>
          <w:p w14:paraId="4A8FE435">
            <w:pPr>
              <w:adjustRightInd w:val="0"/>
              <w:snapToGrid w:val="0"/>
              <w:spacing w:line="320" w:lineRule="exact"/>
              <w:jc w:val="center"/>
              <w:rPr>
                <w:rFonts w:hint="eastAsia" w:ascii="宋体" w:hAnsi="宋体"/>
                <w:bCs/>
                <w:sz w:val="18"/>
                <w:szCs w:val="18"/>
                <w:highlight w:val="none"/>
              </w:rPr>
            </w:pPr>
          </w:p>
        </w:tc>
        <w:tc>
          <w:tcPr>
            <w:tcW w:w="512" w:type="pct"/>
            <w:vMerge w:val="continue"/>
            <w:tcBorders>
              <w:left w:val="single" w:color="000000" w:sz="4" w:space="0"/>
              <w:right w:val="single" w:color="000000" w:sz="4" w:space="0"/>
            </w:tcBorders>
            <w:vAlign w:val="center"/>
          </w:tcPr>
          <w:p w14:paraId="177BA34A">
            <w:pPr>
              <w:adjustRightInd w:val="0"/>
              <w:snapToGrid w:val="0"/>
              <w:spacing w:line="320" w:lineRule="exact"/>
              <w:rPr>
                <w:rFonts w:hint="eastAsia" w:ascii="宋体" w:hAnsi="宋体"/>
                <w:bCs/>
                <w:sz w:val="18"/>
                <w:szCs w:val="18"/>
                <w:highlight w:val="none"/>
              </w:rPr>
            </w:pPr>
          </w:p>
        </w:tc>
        <w:tc>
          <w:tcPr>
            <w:tcW w:w="512" w:type="pct"/>
            <w:vAlign w:val="center"/>
          </w:tcPr>
          <w:p w14:paraId="2F32038A">
            <w:pPr>
              <w:adjustRightInd w:val="0"/>
              <w:snapToGrid w:val="0"/>
              <w:spacing w:line="320" w:lineRule="exact"/>
              <w:jc w:val="center"/>
              <w:rPr>
                <w:rFonts w:hint="eastAsia" w:ascii="黑体" w:hAnsi="黑体" w:eastAsia="黑体"/>
                <w:bCs/>
                <w:sz w:val="18"/>
                <w:szCs w:val="18"/>
                <w:highlight w:val="none"/>
              </w:rPr>
            </w:pPr>
            <w:r>
              <w:rPr>
                <w:rFonts w:hint="eastAsia" w:ascii="黑体" w:hAnsi="黑体" w:eastAsia="黑体"/>
                <w:bCs/>
                <w:sz w:val="18"/>
                <w:szCs w:val="18"/>
                <w:highlight w:val="none"/>
              </w:rPr>
              <w:t>YB26YH07</w:t>
            </w:r>
          </w:p>
        </w:tc>
        <w:tc>
          <w:tcPr>
            <w:tcW w:w="657" w:type="pct"/>
            <w:tcBorders>
              <w:top w:val="single" w:color="auto" w:sz="4" w:space="0"/>
              <w:left w:val="single" w:color="000000" w:sz="4" w:space="0"/>
              <w:bottom w:val="single" w:color="auto" w:sz="4" w:space="0"/>
              <w:right w:val="single" w:color="000000" w:sz="4" w:space="0"/>
            </w:tcBorders>
            <w:vAlign w:val="center"/>
          </w:tcPr>
          <w:p w14:paraId="7D34027B">
            <w:pPr>
              <w:adjustRightInd w:val="0"/>
              <w:snapToGrid w:val="0"/>
              <w:spacing w:line="320" w:lineRule="exact"/>
              <w:jc w:val="center"/>
              <w:rPr>
                <w:rFonts w:hint="eastAsia" w:ascii="宋体" w:hAnsi="宋体"/>
                <w:bCs/>
                <w:sz w:val="18"/>
                <w:szCs w:val="18"/>
                <w:highlight w:val="none"/>
              </w:rPr>
            </w:pPr>
            <w:bookmarkStart w:id="45" w:name="OLE_LINK25"/>
            <w:r>
              <w:rPr>
                <w:rFonts w:hint="eastAsia" w:ascii="宋体" w:hAnsi="宋体"/>
                <w:bCs/>
                <w:sz w:val="18"/>
                <w:szCs w:val="18"/>
                <w:highlight w:val="none"/>
              </w:rPr>
              <w:t>K12+100～K24+297</w:t>
            </w:r>
            <w:bookmarkEnd w:id="45"/>
          </w:p>
        </w:tc>
        <w:tc>
          <w:tcPr>
            <w:tcW w:w="438" w:type="pct"/>
            <w:tcBorders>
              <w:top w:val="single" w:color="auto" w:sz="4" w:space="0"/>
              <w:left w:val="single" w:color="000000" w:sz="4" w:space="0"/>
              <w:bottom w:val="single" w:color="auto" w:sz="4" w:space="0"/>
              <w:right w:val="single" w:color="000000" w:sz="4" w:space="0"/>
            </w:tcBorders>
            <w:vAlign w:val="center"/>
          </w:tcPr>
          <w:p w14:paraId="4F501627">
            <w:pPr>
              <w:adjustRightInd w:val="0"/>
              <w:snapToGrid w:val="0"/>
              <w:spacing w:line="320" w:lineRule="exact"/>
              <w:jc w:val="center"/>
              <w:rPr>
                <w:rFonts w:hint="eastAsia" w:ascii="宋体" w:hAnsi="宋体"/>
                <w:bCs/>
                <w:sz w:val="18"/>
                <w:szCs w:val="18"/>
                <w:highlight w:val="none"/>
              </w:rPr>
            </w:pPr>
            <w:r>
              <w:rPr>
                <w:rFonts w:hint="eastAsia" w:ascii="宋体" w:hAnsi="宋体"/>
                <w:bCs/>
                <w:sz w:val="18"/>
                <w:szCs w:val="18"/>
                <w:highlight w:val="none"/>
              </w:rPr>
              <w:t>12.197</w:t>
            </w:r>
          </w:p>
        </w:tc>
        <w:tc>
          <w:tcPr>
            <w:tcW w:w="343" w:type="pct"/>
            <w:tcBorders>
              <w:top w:val="single" w:color="auto" w:sz="4" w:space="0"/>
              <w:left w:val="single" w:color="000000" w:sz="4" w:space="0"/>
              <w:bottom w:val="single" w:color="auto" w:sz="4" w:space="0"/>
              <w:right w:val="single" w:color="000000" w:sz="4" w:space="0"/>
            </w:tcBorders>
            <w:vAlign w:val="center"/>
          </w:tcPr>
          <w:p w14:paraId="4E6EBE8B">
            <w:pPr>
              <w:adjustRightInd w:val="0"/>
              <w:snapToGrid w:val="0"/>
              <w:spacing w:line="320" w:lineRule="exact"/>
              <w:jc w:val="center"/>
              <w:rPr>
                <w:rFonts w:hint="eastAsia" w:ascii="宋体" w:hAnsi="宋体"/>
                <w:bCs/>
                <w:sz w:val="18"/>
                <w:szCs w:val="18"/>
                <w:highlight w:val="none"/>
              </w:rPr>
            </w:pPr>
            <w:r>
              <w:rPr>
                <w:rFonts w:hint="eastAsia" w:ascii="宋体" w:hAnsi="宋体"/>
                <w:bCs/>
                <w:sz w:val="18"/>
                <w:szCs w:val="18"/>
                <w:highlight w:val="none"/>
              </w:rPr>
              <w:t xml:space="preserve">二级 </w:t>
            </w:r>
          </w:p>
        </w:tc>
        <w:tc>
          <w:tcPr>
            <w:tcW w:w="1573" w:type="pct"/>
            <w:tcBorders>
              <w:top w:val="single" w:color="auto" w:sz="4" w:space="0"/>
              <w:left w:val="single" w:color="000000" w:sz="4" w:space="0"/>
              <w:bottom w:val="single" w:color="auto" w:sz="4" w:space="0"/>
              <w:right w:val="single" w:color="000000" w:sz="4" w:space="0"/>
            </w:tcBorders>
            <w:vAlign w:val="center"/>
          </w:tcPr>
          <w:p w14:paraId="0990B550">
            <w:pPr>
              <w:adjustRightInd w:val="0"/>
              <w:snapToGrid w:val="0"/>
              <w:spacing w:line="320" w:lineRule="exact"/>
              <w:jc w:val="left"/>
              <w:rPr>
                <w:rFonts w:hint="eastAsia" w:ascii="宋体" w:hAnsi="宋体"/>
                <w:bCs/>
                <w:sz w:val="18"/>
                <w:szCs w:val="18"/>
                <w:highlight w:val="none"/>
              </w:rPr>
            </w:pPr>
            <w:r>
              <w:rPr>
                <w:rFonts w:hint="eastAsia" w:ascii="宋体" w:hAnsi="宋体"/>
                <w:bCs/>
                <w:sz w:val="18"/>
                <w:szCs w:val="18"/>
                <w:highlight w:val="none"/>
              </w:rPr>
              <w:t>既有路面提质、安全设施等。</w:t>
            </w:r>
            <w:r>
              <w:rPr>
                <w:rFonts w:ascii="宋体" w:hAnsi="宋体"/>
                <w:bCs/>
                <w:sz w:val="18"/>
                <w:szCs w:val="18"/>
                <w:highlight w:val="none"/>
              </w:rPr>
              <w:t>全段共有中</w:t>
            </w:r>
            <w:r>
              <w:rPr>
                <w:rFonts w:hint="eastAsia" w:ascii="宋体" w:hAnsi="宋体"/>
                <w:bCs/>
                <w:sz w:val="18"/>
                <w:szCs w:val="18"/>
                <w:highlight w:val="none"/>
              </w:rPr>
              <w:t>小</w:t>
            </w:r>
            <w:r>
              <w:rPr>
                <w:rFonts w:ascii="宋体" w:hAnsi="宋体"/>
                <w:bCs/>
                <w:sz w:val="18"/>
                <w:szCs w:val="18"/>
                <w:highlight w:val="none"/>
              </w:rPr>
              <w:t>桥</w:t>
            </w:r>
            <w:r>
              <w:rPr>
                <w:rFonts w:hint="eastAsia" w:ascii="宋体" w:hAnsi="宋体"/>
                <w:bCs/>
                <w:sz w:val="18"/>
                <w:szCs w:val="18"/>
                <w:highlight w:val="none"/>
              </w:rPr>
              <w:t>4</w:t>
            </w:r>
            <w:r>
              <w:rPr>
                <w:rFonts w:ascii="宋体" w:hAnsi="宋体"/>
                <w:bCs/>
                <w:sz w:val="18"/>
                <w:szCs w:val="18"/>
                <w:highlight w:val="none"/>
              </w:rPr>
              <w:t>座</w:t>
            </w:r>
            <w:r>
              <w:rPr>
                <w:rFonts w:hint="eastAsia" w:ascii="宋体" w:hAnsi="宋体"/>
                <w:bCs/>
                <w:sz w:val="18"/>
                <w:szCs w:val="18"/>
                <w:highlight w:val="none"/>
              </w:rPr>
              <w:t>，</w:t>
            </w:r>
            <w:r>
              <w:rPr>
                <w:rFonts w:ascii="宋体" w:hAnsi="宋体"/>
                <w:bCs/>
                <w:sz w:val="18"/>
                <w:szCs w:val="18"/>
                <w:highlight w:val="none"/>
              </w:rPr>
              <w:t>涵洞</w:t>
            </w:r>
            <w:r>
              <w:rPr>
                <w:rFonts w:hint="eastAsia" w:ascii="宋体" w:hAnsi="宋体"/>
                <w:bCs/>
                <w:sz w:val="18"/>
                <w:szCs w:val="18"/>
                <w:highlight w:val="none"/>
              </w:rPr>
              <w:t>13</w:t>
            </w:r>
            <w:r>
              <w:rPr>
                <w:rFonts w:ascii="宋体" w:hAnsi="宋体"/>
                <w:bCs/>
                <w:sz w:val="18"/>
                <w:szCs w:val="18"/>
                <w:highlight w:val="none"/>
              </w:rPr>
              <w:t>道</w:t>
            </w:r>
            <w:r>
              <w:rPr>
                <w:rFonts w:hint="eastAsia" w:ascii="宋体" w:hAnsi="宋体"/>
                <w:bCs/>
                <w:sz w:val="18"/>
                <w:szCs w:val="18"/>
                <w:highlight w:val="none"/>
              </w:rPr>
              <w:t>。</w:t>
            </w:r>
          </w:p>
        </w:tc>
      </w:tr>
      <w:tr w14:paraId="77C44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454" w:type="pct"/>
            <w:vAlign w:val="center"/>
          </w:tcPr>
          <w:p w14:paraId="77D3C5A4">
            <w:pPr>
              <w:adjustRightInd w:val="0"/>
              <w:snapToGrid w:val="0"/>
              <w:spacing w:line="320" w:lineRule="exact"/>
              <w:jc w:val="center"/>
              <w:rPr>
                <w:rFonts w:hint="eastAsia" w:ascii="宋体" w:hAnsi="宋体"/>
                <w:bCs/>
                <w:sz w:val="18"/>
                <w:szCs w:val="18"/>
                <w:highlight w:val="none"/>
              </w:rPr>
            </w:pPr>
            <w:r>
              <w:rPr>
                <w:rFonts w:hint="eastAsia" w:ascii="宋体" w:hAnsi="宋体"/>
                <w:bCs/>
                <w:sz w:val="18"/>
                <w:szCs w:val="18"/>
                <w:highlight w:val="none"/>
              </w:rPr>
              <w:t>G334</w:t>
            </w:r>
          </w:p>
          <w:p w14:paraId="2423C2C0">
            <w:pPr>
              <w:adjustRightInd w:val="0"/>
              <w:snapToGrid w:val="0"/>
              <w:spacing w:line="320" w:lineRule="exact"/>
              <w:jc w:val="center"/>
              <w:rPr>
                <w:rFonts w:hint="eastAsia" w:ascii="宋体" w:hAnsi="宋体"/>
                <w:bCs/>
                <w:sz w:val="18"/>
                <w:szCs w:val="18"/>
                <w:highlight w:val="none"/>
              </w:rPr>
            </w:pPr>
            <w:r>
              <w:rPr>
                <w:rFonts w:hint="eastAsia" w:ascii="宋体" w:hAnsi="宋体"/>
                <w:bCs/>
                <w:sz w:val="18"/>
                <w:szCs w:val="18"/>
                <w:highlight w:val="none"/>
              </w:rPr>
              <w:t>国道龙东</w:t>
            </w:r>
          </w:p>
          <w:p w14:paraId="4A884982">
            <w:pPr>
              <w:adjustRightInd w:val="0"/>
              <w:snapToGrid w:val="0"/>
              <w:spacing w:line="320" w:lineRule="exact"/>
              <w:jc w:val="center"/>
              <w:rPr>
                <w:rFonts w:hint="eastAsia" w:ascii="宋体" w:hAnsi="宋体"/>
                <w:bCs/>
                <w:sz w:val="18"/>
                <w:szCs w:val="18"/>
                <w:highlight w:val="none"/>
              </w:rPr>
            </w:pPr>
            <w:r>
              <w:rPr>
                <w:rFonts w:hint="eastAsia" w:ascii="宋体" w:hAnsi="宋体"/>
                <w:bCs/>
                <w:sz w:val="18"/>
                <w:szCs w:val="18"/>
                <w:highlight w:val="none"/>
              </w:rPr>
              <w:t>公路</w:t>
            </w:r>
          </w:p>
        </w:tc>
        <w:tc>
          <w:tcPr>
            <w:tcW w:w="510" w:type="pct"/>
            <w:vAlign w:val="center"/>
          </w:tcPr>
          <w:p w14:paraId="5FB63EE7">
            <w:pPr>
              <w:adjustRightInd w:val="0"/>
              <w:snapToGrid w:val="0"/>
              <w:spacing w:line="320" w:lineRule="exact"/>
              <w:jc w:val="center"/>
              <w:rPr>
                <w:rFonts w:hint="eastAsia" w:ascii="宋体" w:hAnsi="宋体"/>
                <w:bCs/>
                <w:sz w:val="18"/>
                <w:szCs w:val="18"/>
                <w:highlight w:val="none"/>
              </w:rPr>
            </w:pPr>
            <w:r>
              <w:rPr>
                <w:rFonts w:hint="eastAsia" w:ascii="宋体" w:hAnsi="宋体"/>
                <w:bCs/>
                <w:sz w:val="18"/>
                <w:szCs w:val="18"/>
                <w:highlight w:val="none"/>
              </w:rPr>
              <w:t>吉公路技〔2026〕</w:t>
            </w:r>
          </w:p>
          <w:p w14:paraId="6C0816A0">
            <w:pPr>
              <w:adjustRightInd w:val="0"/>
              <w:snapToGrid w:val="0"/>
              <w:spacing w:line="320" w:lineRule="exact"/>
              <w:jc w:val="center"/>
              <w:rPr>
                <w:rFonts w:hint="eastAsia" w:ascii="宋体" w:hAnsi="宋体"/>
                <w:bCs/>
                <w:sz w:val="18"/>
                <w:szCs w:val="18"/>
                <w:highlight w:val="none"/>
              </w:rPr>
            </w:pPr>
            <w:r>
              <w:rPr>
                <w:rFonts w:hint="eastAsia" w:ascii="宋体" w:hAnsi="宋体"/>
                <w:bCs/>
                <w:sz w:val="18"/>
                <w:szCs w:val="18"/>
                <w:highlight w:val="none"/>
              </w:rPr>
              <w:t>70号</w:t>
            </w:r>
          </w:p>
        </w:tc>
        <w:tc>
          <w:tcPr>
            <w:tcW w:w="512" w:type="pct"/>
            <w:tcBorders>
              <w:left w:val="single" w:color="000000" w:sz="4" w:space="0"/>
              <w:bottom w:val="single" w:color="auto" w:sz="4" w:space="0"/>
              <w:right w:val="single" w:color="000000" w:sz="4" w:space="0"/>
            </w:tcBorders>
            <w:vAlign w:val="center"/>
          </w:tcPr>
          <w:p w14:paraId="6978EBBF">
            <w:pPr>
              <w:adjustRightInd w:val="0"/>
              <w:snapToGrid w:val="0"/>
              <w:spacing w:line="320" w:lineRule="exact"/>
              <w:rPr>
                <w:rFonts w:hint="eastAsia" w:ascii="宋体" w:hAnsi="宋体"/>
                <w:bCs/>
                <w:sz w:val="18"/>
                <w:szCs w:val="18"/>
                <w:highlight w:val="none"/>
              </w:rPr>
            </w:pPr>
            <w:r>
              <w:rPr>
                <w:rFonts w:ascii="宋体" w:hAnsi="宋体"/>
                <w:bCs/>
                <w:sz w:val="18"/>
                <w:szCs w:val="18"/>
                <w:highlight w:val="none"/>
              </w:rPr>
              <w:t>观景台至三道林场段</w:t>
            </w:r>
          </w:p>
        </w:tc>
        <w:tc>
          <w:tcPr>
            <w:tcW w:w="512" w:type="pct"/>
            <w:vAlign w:val="center"/>
          </w:tcPr>
          <w:p w14:paraId="5EF8F153">
            <w:pPr>
              <w:adjustRightInd w:val="0"/>
              <w:snapToGrid w:val="0"/>
              <w:spacing w:line="320" w:lineRule="exact"/>
              <w:jc w:val="center"/>
              <w:rPr>
                <w:rFonts w:hint="eastAsia" w:ascii="黑体" w:hAnsi="黑体" w:eastAsia="黑体"/>
                <w:bCs/>
                <w:sz w:val="18"/>
                <w:szCs w:val="18"/>
                <w:highlight w:val="none"/>
              </w:rPr>
            </w:pPr>
            <w:r>
              <w:rPr>
                <w:rFonts w:hint="eastAsia" w:ascii="黑体" w:hAnsi="黑体" w:eastAsia="黑体"/>
                <w:bCs/>
                <w:sz w:val="18"/>
                <w:szCs w:val="18"/>
                <w:highlight w:val="none"/>
              </w:rPr>
              <w:t>YB26YH08</w:t>
            </w:r>
          </w:p>
        </w:tc>
        <w:tc>
          <w:tcPr>
            <w:tcW w:w="657" w:type="pct"/>
            <w:tcBorders>
              <w:top w:val="single" w:color="auto" w:sz="4" w:space="0"/>
              <w:left w:val="single" w:color="000000" w:sz="4" w:space="0"/>
              <w:bottom w:val="single" w:color="auto" w:sz="4" w:space="0"/>
              <w:right w:val="single" w:color="000000" w:sz="4" w:space="0"/>
            </w:tcBorders>
            <w:vAlign w:val="center"/>
          </w:tcPr>
          <w:p w14:paraId="0F4EEF6C">
            <w:pPr>
              <w:adjustRightInd w:val="0"/>
              <w:snapToGrid w:val="0"/>
              <w:spacing w:line="320" w:lineRule="exact"/>
              <w:jc w:val="center"/>
              <w:rPr>
                <w:rFonts w:hint="eastAsia" w:ascii="宋体" w:hAnsi="宋体"/>
                <w:bCs/>
                <w:sz w:val="18"/>
                <w:szCs w:val="18"/>
                <w:highlight w:val="none"/>
              </w:rPr>
            </w:pPr>
            <w:r>
              <w:rPr>
                <w:rFonts w:ascii="宋体" w:hAnsi="宋体"/>
                <w:bCs/>
                <w:sz w:val="18"/>
                <w:szCs w:val="18"/>
                <w:highlight w:val="none"/>
              </w:rPr>
              <w:t>K131+305～K151+365.703</w:t>
            </w:r>
          </w:p>
        </w:tc>
        <w:tc>
          <w:tcPr>
            <w:tcW w:w="438" w:type="pct"/>
            <w:tcBorders>
              <w:top w:val="single" w:color="auto" w:sz="4" w:space="0"/>
              <w:left w:val="single" w:color="000000" w:sz="4" w:space="0"/>
              <w:bottom w:val="single" w:color="auto" w:sz="4" w:space="0"/>
              <w:right w:val="single" w:color="000000" w:sz="4" w:space="0"/>
            </w:tcBorders>
            <w:vAlign w:val="center"/>
          </w:tcPr>
          <w:p w14:paraId="6243B5C9">
            <w:pPr>
              <w:adjustRightInd w:val="0"/>
              <w:snapToGrid w:val="0"/>
              <w:spacing w:line="320" w:lineRule="exact"/>
              <w:jc w:val="center"/>
              <w:rPr>
                <w:rFonts w:hint="eastAsia" w:ascii="宋体" w:hAnsi="宋体"/>
                <w:bCs/>
                <w:sz w:val="18"/>
                <w:szCs w:val="18"/>
                <w:highlight w:val="none"/>
              </w:rPr>
            </w:pPr>
            <w:r>
              <w:rPr>
                <w:rFonts w:hint="eastAsia" w:ascii="宋体" w:hAnsi="宋体"/>
                <w:bCs/>
                <w:sz w:val="18"/>
                <w:szCs w:val="18"/>
                <w:highlight w:val="none"/>
              </w:rPr>
              <w:t>20.061</w:t>
            </w:r>
          </w:p>
        </w:tc>
        <w:tc>
          <w:tcPr>
            <w:tcW w:w="343" w:type="pct"/>
            <w:tcBorders>
              <w:top w:val="single" w:color="auto" w:sz="4" w:space="0"/>
              <w:left w:val="single" w:color="000000" w:sz="4" w:space="0"/>
              <w:bottom w:val="single" w:color="auto" w:sz="4" w:space="0"/>
              <w:right w:val="single" w:color="000000" w:sz="4" w:space="0"/>
            </w:tcBorders>
            <w:vAlign w:val="center"/>
          </w:tcPr>
          <w:p w14:paraId="5AA1B8A9">
            <w:pPr>
              <w:adjustRightInd w:val="0"/>
              <w:snapToGrid w:val="0"/>
              <w:spacing w:line="320" w:lineRule="exact"/>
              <w:jc w:val="center"/>
              <w:rPr>
                <w:rFonts w:hint="eastAsia" w:ascii="宋体" w:hAnsi="宋体"/>
                <w:bCs/>
                <w:sz w:val="18"/>
                <w:szCs w:val="18"/>
                <w:highlight w:val="none"/>
              </w:rPr>
            </w:pPr>
            <w:r>
              <w:rPr>
                <w:rFonts w:hint="eastAsia" w:ascii="宋体" w:hAnsi="宋体"/>
                <w:bCs/>
                <w:sz w:val="18"/>
                <w:szCs w:val="18"/>
                <w:highlight w:val="none"/>
              </w:rPr>
              <w:t>二级</w:t>
            </w:r>
          </w:p>
        </w:tc>
        <w:tc>
          <w:tcPr>
            <w:tcW w:w="1573" w:type="pct"/>
            <w:tcBorders>
              <w:top w:val="single" w:color="auto" w:sz="4" w:space="0"/>
              <w:left w:val="single" w:color="000000" w:sz="4" w:space="0"/>
              <w:bottom w:val="single" w:color="auto" w:sz="4" w:space="0"/>
              <w:right w:val="single" w:color="000000" w:sz="4" w:space="0"/>
            </w:tcBorders>
            <w:vAlign w:val="center"/>
          </w:tcPr>
          <w:p w14:paraId="093600AB">
            <w:pPr>
              <w:adjustRightInd w:val="0"/>
              <w:snapToGrid w:val="0"/>
              <w:spacing w:line="320" w:lineRule="exact"/>
              <w:jc w:val="left"/>
              <w:rPr>
                <w:rFonts w:hint="eastAsia" w:ascii="宋体" w:hAnsi="宋体"/>
                <w:bCs/>
                <w:sz w:val="18"/>
                <w:szCs w:val="18"/>
                <w:highlight w:val="none"/>
              </w:rPr>
            </w:pPr>
            <w:r>
              <w:rPr>
                <w:rFonts w:hint="eastAsia" w:ascii="宋体" w:hAnsi="宋体"/>
                <w:bCs/>
                <w:sz w:val="18"/>
                <w:szCs w:val="18"/>
                <w:highlight w:val="none"/>
              </w:rPr>
              <w:t>既有路面提质、安全设施等，</w:t>
            </w:r>
            <w:r>
              <w:rPr>
                <w:rFonts w:ascii="宋体" w:hAnsi="宋体"/>
                <w:bCs/>
                <w:sz w:val="18"/>
                <w:szCs w:val="18"/>
                <w:highlight w:val="none"/>
              </w:rPr>
              <w:t>全段共有涵洞</w:t>
            </w:r>
            <w:r>
              <w:rPr>
                <w:rFonts w:hint="eastAsia" w:ascii="宋体" w:hAnsi="宋体"/>
                <w:bCs/>
                <w:sz w:val="18"/>
                <w:szCs w:val="18"/>
                <w:highlight w:val="none"/>
              </w:rPr>
              <w:t>34</w:t>
            </w:r>
            <w:r>
              <w:rPr>
                <w:rFonts w:ascii="宋体" w:hAnsi="宋体"/>
                <w:bCs/>
                <w:sz w:val="18"/>
                <w:szCs w:val="18"/>
                <w:highlight w:val="none"/>
              </w:rPr>
              <w:t>道</w:t>
            </w:r>
            <w:r>
              <w:rPr>
                <w:rFonts w:hint="eastAsia" w:ascii="宋体" w:hAnsi="宋体"/>
                <w:bCs/>
                <w:sz w:val="18"/>
                <w:szCs w:val="18"/>
                <w:highlight w:val="none"/>
              </w:rPr>
              <w:t>。</w:t>
            </w:r>
          </w:p>
        </w:tc>
      </w:tr>
      <w:bookmarkEnd w:id="31"/>
      <w:bookmarkEnd w:id="32"/>
      <w:bookmarkEnd w:id="34"/>
      <w:bookmarkEnd w:id="35"/>
    </w:tbl>
    <w:p w14:paraId="4EB0DC37">
      <w:pPr>
        <w:spacing w:line="300" w:lineRule="exact"/>
        <w:ind w:firstLine="420" w:firstLineChars="200"/>
        <w:rPr>
          <w:rFonts w:hint="eastAsia" w:ascii="宋体" w:hAnsi="宋体"/>
          <w:bCs/>
          <w:szCs w:val="21"/>
          <w:highlight w:val="none"/>
        </w:rPr>
      </w:pPr>
      <w:r>
        <w:rPr>
          <w:rFonts w:hint="eastAsia" w:ascii="宋体" w:hAnsi="宋体"/>
          <w:bCs/>
          <w:szCs w:val="21"/>
          <w:highlight w:val="none"/>
        </w:rPr>
        <w:t>2.4计划工期：</w:t>
      </w:r>
      <w:bookmarkStart w:id="46" w:name="_Hlk170805445"/>
      <w:r>
        <w:rPr>
          <w:rFonts w:hint="eastAsia" w:ascii="黑体" w:hAnsi="黑体" w:eastAsia="黑体"/>
          <w:bCs/>
          <w:szCs w:val="21"/>
          <w:highlight w:val="none"/>
        </w:rPr>
        <w:t>2026年7月10日～2026年10月31日，共113日历天</w:t>
      </w:r>
      <w:r>
        <w:rPr>
          <w:rFonts w:hint="eastAsia" w:ascii="宋体" w:hAnsi="宋体"/>
          <w:bCs/>
          <w:szCs w:val="21"/>
          <w:highlight w:val="none"/>
        </w:rPr>
        <w:t>。</w:t>
      </w:r>
      <w:bookmarkEnd w:id="46"/>
    </w:p>
    <w:p w14:paraId="5A81D3C2">
      <w:pPr>
        <w:adjustRightInd w:val="0"/>
        <w:snapToGrid w:val="0"/>
        <w:spacing w:before="120" w:beforeLines="50" w:after="120" w:afterLines="50" w:line="400" w:lineRule="exact"/>
        <w:rPr>
          <w:rFonts w:hint="eastAsia" w:ascii="黑体" w:hAnsi="黑体" w:eastAsia="黑体"/>
          <w:bCs/>
          <w:sz w:val="24"/>
          <w:szCs w:val="24"/>
          <w:highlight w:val="none"/>
        </w:rPr>
      </w:pPr>
      <w:r>
        <w:rPr>
          <w:rFonts w:hint="eastAsia" w:ascii="黑体" w:hAnsi="黑体" w:eastAsia="黑体"/>
          <w:bCs/>
          <w:sz w:val="24"/>
          <w:szCs w:val="24"/>
          <w:highlight w:val="none"/>
        </w:rPr>
        <w:t>3</w:t>
      </w:r>
      <w:r>
        <w:rPr>
          <w:rFonts w:ascii="黑体" w:hAnsi="黑体" w:eastAsia="黑体"/>
          <w:bCs/>
          <w:sz w:val="24"/>
          <w:szCs w:val="24"/>
          <w:highlight w:val="none"/>
        </w:rPr>
        <w:t>．投标人资格</w:t>
      </w:r>
      <w:r>
        <w:rPr>
          <w:rFonts w:hint="eastAsia" w:ascii="黑体" w:hAnsi="黑体" w:eastAsia="黑体"/>
          <w:bCs/>
          <w:sz w:val="24"/>
          <w:szCs w:val="24"/>
          <w:highlight w:val="none"/>
        </w:rPr>
        <w:t>要求</w:t>
      </w:r>
      <w:bookmarkEnd w:id="30"/>
    </w:p>
    <w:bookmarkEnd w:id="33"/>
    <w:p w14:paraId="41A58D65">
      <w:pPr>
        <w:adjustRightInd w:val="0"/>
        <w:snapToGrid w:val="0"/>
        <w:spacing w:line="400" w:lineRule="exact"/>
        <w:ind w:firstLine="420" w:firstLineChars="200"/>
        <w:rPr>
          <w:rFonts w:hint="eastAsia" w:ascii="宋体" w:hAnsi="宋体"/>
          <w:bCs/>
          <w:szCs w:val="21"/>
          <w:highlight w:val="none"/>
        </w:rPr>
      </w:pPr>
      <w:bookmarkStart w:id="47" w:name="_Hlk187244491"/>
      <w:bookmarkStart w:id="48" w:name="_Toc452639674"/>
      <w:bookmarkStart w:id="49" w:name="_Toc452639770"/>
      <w:bookmarkStart w:id="50" w:name="_Toc455238559"/>
      <w:r>
        <w:rPr>
          <w:rFonts w:hint="eastAsia" w:ascii="宋体" w:hAnsi="宋体"/>
          <w:bCs/>
          <w:szCs w:val="21"/>
          <w:highlight w:val="none"/>
        </w:rPr>
        <w:t>3.1本次招标要求投标人须同时具备以下资质，并在人员、设备、资金等方面具有相应的施工能力。</w:t>
      </w:r>
      <w:bookmarkStart w:id="51" w:name="_Hlk186034259"/>
    </w:p>
    <w:tbl>
      <w:tblPr>
        <w:tblStyle w:val="5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1022"/>
        <w:gridCol w:w="708"/>
        <w:gridCol w:w="7965"/>
      </w:tblGrid>
      <w:tr w14:paraId="2D1AC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97" w:hRule="atLeast"/>
          <w:jc w:val="center"/>
        </w:trPr>
        <w:tc>
          <w:tcPr>
            <w:tcW w:w="527" w:type="pct"/>
            <w:vAlign w:val="center"/>
          </w:tcPr>
          <w:p w14:paraId="53F5882D">
            <w:pPr>
              <w:adjustRightInd w:val="0"/>
              <w:snapToGrid w:val="0"/>
              <w:spacing w:line="300" w:lineRule="exact"/>
              <w:jc w:val="center"/>
              <w:rPr>
                <w:rFonts w:hint="eastAsia" w:ascii="宋体" w:hAnsi="宋体"/>
                <w:bCs/>
                <w:sz w:val="18"/>
                <w:szCs w:val="18"/>
                <w:highlight w:val="none"/>
              </w:rPr>
            </w:pPr>
            <w:r>
              <w:rPr>
                <w:rFonts w:hint="eastAsia" w:ascii="宋体" w:hAnsi="宋体"/>
                <w:bCs/>
                <w:sz w:val="18"/>
                <w:szCs w:val="18"/>
                <w:highlight w:val="none"/>
              </w:rPr>
              <w:t>施工标段</w:t>
            </w:r>
          </w:p>
        </w:tc>
        <w:tc>
          <w:tcPr>
            <w:tcW w:w="365" w:type="pct"/>
            <w:tcBorders>
              <w:top w:val="single" w:color="auto" w:sz="4" w:space="0"/>
              <w:left w:val="single" w:color="auto" w:sz="4" w:space="0"/>
              <w:bottom w:val="single" w:color="auto" w:sz="4" w:space="0"/>
              <w:right w:val="single" w:color="auto" w:sz="4" w:space="0"/>
            </w:tcBorders>
            <w:vAlign w:val="center"/>
          </w:tcPr>
          <w:p w14:paraId="0F59CB4F">
            <w:pPr>
              <w:adjustRightInd w:val="0"/>
              <w:snapToGrid w:val="0"/>
              <w:spacing w:line="300" w:lineRule="exact"/>
              <w:jc w:val="center"/>
              <w:rPr>
                <w:rFonts w:hint="eastAsia" w:ascii="宋体" w:hAnsi="宋体"/>
                <w:bCs/>
                <w:sz w:val="18"/>
                <w:szCs w:val="18"/>
                <w:highlight w:val="none"/>
              </w:rPr>
            </w:pPr>
            <w:r>
              <w:rPr>
                <w:rFonts w:hint="eastAsia" w:ascii="宋体" w:hAnsi="宋体"/>
                <w:bCs/>
                <w:sz w:val="18"/>
                <w:szCs w:val="18"/>
                <w:highlight w:val="none"/>
              </w:rPr>
              <w:t>公路</w:t>
            </w:r>
          </w:p>
          <w:p w14:paraId="2FB1AEF0">
            <w:pPr>
              <w:adjustRightInd w:val="0"/>
              <w:snapToGrid w:val="0"/>
              <w:spacing w:line="300" w:lineRule="exact"/>
              <w:jc w:val="center"/>
              <w:rPr>
                <w:rFonts w:hint="eastAsia" w:ascii="宋体" w:hAnsi="宋体"/>
                <w:bCs/>
                <w:sz w:val="18"/>
                <w:szCs w:val="18"/>
                <w:highlight w:val="none"/>
              </w:rPr>
            </w:pPr>
            <w:r>
              <w:rPr>
                <w:rFonts w:hint="eastAsia" w:ascii="宋体" w:hAnsi="宋体"/>
                <w:bCs/>
                <w:sz w:val="18"/>
                <w:szCs w:val="18"/>
                <w:highlight w:val="none"/>
              </w:rPr>
              <w:t>等级</w:t>
            </w:r>
          </w:p>
        </w:tc>
        <w:tc>
          <w:tcPr>
            <w:tcW w:w="4108" w:type="pct"/>
            <w:tcBorders>
              <w:top w:val="single" w:color="auto" w:sz="4" w:space="0"/>
              <w:left w:val="single" w:color="auto" w:sz="4" w:space="0"/>
              <w:bottom w:val="single" w:color="auto" w:sz="4" w:space="0"/>
              <w:right w:val="single" w:color="auto" w:sz="4" w:space="0"/>
            </w:tcBorders>
            <w:vAlign w:val="center"/>
          </w:tcPr>
          <w:p w14:paraId="4E910933">
            <w:pPr>
              <w:adjustRightInd w:val="0"/>
              <w:snapToGrid w:val="0"/>
              <w:spacing w:line="300" w:lineRule="exact"/>
              <w:jc w:val="center"/>
              <w:rPr>
                <w:rFonts w:hint="eastAsia" w:ascii="宋体" w:hAnsi="宋体"/>
                <w:bCs/>
                <w:sz w:val="18"/>
                <w:szCs w:val="18"/>
                <w:highlight w:val="none"/>
              </w:rPr>
            </w:pPr>
            <w:r>
              <w:rPr>
                <w:rFonts w:hint="eastAsia" w:ascii="宋体" w:hAnsi="宋体"/>
                <w:bCs/>
                <w:sz w:val="18"/>
                <w:szCs w:val="18"/>
                <w:highlight w:val="none"/>
              </w:rPr>
              <w:t>资质要求</w:t>
            </w:r>
          </w:p>
        </w:tc>
      </w:tr>
      <w:tr w14:paraId="3393D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527" w:type="pct"/>
            <w:vAlign w:val="center"/>
          </w:tcPr>
          <w:p w14:paraId="77163B32">
            <w:pPr>
              <w:adjustRightInd w:val="0"/>
              <w:snapToGrid w:val="0"/>
              <w:spacing w:line="320" w:lineRule="exact"/>
              <w:jc w:val="center"/>
              <w:rPr>
                <w:rFonts w:hint="eastAsia" w:ascii="宋体" w:hAnsi="宋体"/>
                <w:bCs/>
                <w:sz w:val="18"/>
                <w:szCs w:val="18"/>
                <w:highlight w:val="none"/>
              </w:rPr>
            </w:pPr>
            <w:r>
              <w:rPr>
                <w:rFonts w:hint="eastAsia" w:ascii="黑体" w:hAnsi="黑体" w:eastAsia="黑体"/>
                <w:bCs/>
                <w:sz w:val="18"/>
                <w:szCs w:val="18"/>
                <w:highlight w:val="none"/>
              </w:rPr>
              <w:t>YB26YH03</w:t>
            </w:r>
          </w:p>
        </w:tc>
        <w:tc>
          <w:tcPr>
            <w:tcW w:w="365" w:type="pct"/>
            <w:tcBorders>
              <w:top w:val="single" w:color="auto" w:sz="4" w:space="0"/>
              <w:left w:val="single" w:color="000000" w:sz="4" w:space="0"/>
              <w:bottom w:val="single" w:color="auto" w:sz="4" w:space="0"/>
              <w:right w:val="single" w:color="000000" w:sz="4" w:space="0"/>
            </w:tcBorders>
            <w:vAlign w:val="center"/>
          </w:tcPr>
          <w:p w14:paraId="5C230EA4">
            <w:pPr>
              <w:adjustRightInd w:val="0"/>
              <w:snapToGrid w:val="0"/>
              <w:spacing w:line="320" w:lineRule="exact"/>
              <w:jc w:val="center"/>
              <w:rPr>
                <w:rFonts w:hint="eastAsia" w:ascii="宋体" w:hAnsi="宋体"/>
                <w:bCs/>
                <w:sz w:val="18"/>
                <w:szCs w:val="18"/>
                <w:highlight w:val="none"/>
              </w:rPr>
            </w:pPr>
            <w:r>
              <w:rPr>
                <w:rFonts w:hint="eastAsia" w:ascii="宋体" w:hAnsi="宋体"/>
                <w:bCs/>
                <w:sz w:val="18"/>
                <w:szCs w:val="18"/>
                <w:highlight w:val="none"/>
              </w:rPr>
              <w:t>二级</w:t>
            </w:r>
          </w:p>
        </w:tc>
        <w:tc>
          <w:tcPr>
            <w:tcW w:w="4108" w:type="pct"/>
            <w:tcBorders>
              <w:top w:val="single" w:color="auto" w:sz="4" w:space="0"/>
              <w:left w:val="single" w:color="000000" w:sz="4" w:space="0"/>
              <w:bottom w:val="single" w:color="auto" w:sz="4" w:space="0"/>
              <w:right w:val="single" w:color="000000" w:sz="4" w:space="0"/>
            </w:tcBorders>
            <w:vAlign w:val="center"/>
          </w:tcPr>
          <w:p w14:paraId="47F5964D">
            <w:pPr>
              <w:adjustRightInd w:val="0"/>
              <w:snapToGrid w:val="0"/>
              <w:spacing w:line="320" w:lineRule="exact"/>
              <w:rPr>
                <w:rFonts w:hint="eastAsia" w:ascii="宋体" w:hAnsi="宋体"/>
                <w:bCs/>
                <w:sz w:val="18"/>
                <w:szCs w:val="18"/>
                <w:highlight w:val="none"/>
              </w:rPr>
            </w:pPr>
            <w:r>
              <w:rPr>
                <w:rFonts w:hint="eastAsia" w:ascii="宋体" w:hAnsi="宋体"/>
                <w:bCs/>
                <w:sz w:val="18"/>
                <w:szCs w:val="18"/>
                <w:highlight w:val="none"/>
              </w:rPr>
              <w:t>交通运输主管部门核发的：</w:t>
            </w:r>
            <w:r>
              <w:rPr>
                <w:rFonts w:hint="eastAsia" w:ascii="宋体" w:hAnsi="宋体"/>
                <w:bCs/>
                <w:sz w:val="18"/>
                <w:szCs w:val="18"/>
                <w:highlight w:val="none"/>
              </w:rPr>
              <w:fldChar w:fldCharType="begin"/>
            </w:r>
            <w:r>
              <w:rPr>
                <w:rFonts w:hint="eastAsia" w:ascii="宋体" w:hAnsi="宋体"/>
                <w:bCs/>
                <w:sz w:val="18"/>
                <w:szCs w:val="18"/>
                <w:highlight w:val="none"/>
              </w:rPr>
              <w:instrText xml:space="preserve"> = 1 \* GB3 </w:instrText>
            </w:r>
            <w:r>
              <w:rPr>
                <w:rFonts w:hint="eastAsia" w:ascii="宋体" w:hAnsi="宋体"/>
                <w:bCs/>
                <w:sz w:val="18"/>
                <w:szCs w:val="18"/>
                <w:highlight w:val="none"/>
              </w:rPr>
              <w:fldChar w:fldCharType="separate"/>
            </w:r>
            <w:r>
              <w:rPr>
                <w:rFonts w:hint="eastAsia" w:ascii="宋体" w:hAnsi="宋体"/>
                <w:bCs/>
                <w:sz w:val="18"/>
                <w:szCs w:val="18"/>
                <w:highlight w:val="none"/>
              </w:rPr>
              <w:t>①</w:t>
            </w:r>
            <w:r>
              <w:rPr>
                <w:rFonts w:hint="eastAsia" w:ascii="宋体" w:hAnsi="宋体"/>
                <w:bCs/>
                <w:sz w:val="18"/>
                <w:szCs w:val="18"/>
                <w:highlight w:val="none"/>
              </w:rPr>
              <w:fldChar w:fldCharType="end"/>
            </w:r>
            <w:r>
              <w:rPr>
                <w:rFonts w:hint="eastAsia" w:ascii="宋体" w:hAnsi="宋体"/>
                <w:bCs/>
                <w:sz w:val="18"/>
                <w:szCs w:val="18"/>
                <w:highlight w:val="none"/>
              </w:rPr>
              <w:t>路基路面养护乙级（或甲级）资质；</w:t>
            </w:r>
            <w:r>
              <w:rPr>
                <w:rFonts w:hint="eastAsia" w:ascii="宋体" w:hAnsi="宋体"/>
                <w:bCs/>
                <w:sz w:val="18"/>
                <w:szCs w:val="18"/>
                <w:highlight w:val="none"/>
              </w:rPr>
              <w:fldChar w:fldCharType="begin"/>
            </w:r>
            <w:r>
              <w:rPr>
                <w:rFonts w:hint="eastAsia" w:ascii="宋体" w:hAnsi="宋体"/>
                <w:bCs/>
                <w:sz w:val="18"/>
                <w:szCs w:val="18"/>
                <w:highlight w:val="none"/>
              </w:rPr>
              <w:instrText xml:space="preserve"> = 2 \* GB3 </w:instrText>
            </w:r>
            <w:r>
              <w:rPr>
                <w:rFonts w:hint="eastAsia" w:ascii="宋体" w:hAnsi="宋体"/>
                <w:bCs/>
                <w:sz w:val="18"/>
                <w:szCs w:val="18"/>
                <w:highlight w:val="none"/>
              </w:rPr>
              <w:fldChar w:fldCharType="separate"/>
            </w:r>
            <w:r>
              <w:rPr>
                <w:rFonts w:hint="eastAsia" w:ascii="宋体" w:hAnsi="宋体"/>
                <w:bCs/>
                <w:sz w:val="18"/>
                <w:szCs w:val="18"/>
                <w:highlight w:val="none"/>
              </w:rPr>
              <w:t>②</w:t>
            </w:r>
            <w:r>
              <w:rPr>
                <w:rFonts w:hint="eastAsia" w:ascii="宋体" w:hAnsi="宋体"/>
                <w:bCs/>
                <w:sz w:val="18"/>
                <w:szCs w:val="18"/>
                <w:highlight w:val="none"/>
              </w:rPr>
              <w:fldChar w:fldCharType="end"/>
            </w:r>
            <w:r>
              <w:rPr>
                <w:rFonts w:hint="eastAsia" w:ascii="宋体" w:hAnsi="宋体"/>
                <w:bCs/>
                <w:sz w:val="18"/>
                <w:szCs w:val="18"/>
                <w:highlight w:val="none"/>
              </w:rPr>
              <w:t>桥梁养护乙级（或甲级）资质；</w:t>
            </w:r>
            <w:r>
              <w:rPr>
                <w:rFonts w:hint="eastAsia" w:ascii="宋体" w:hAnsi="宋体"/>
                <w:bCs/>
                <w:sz w:val="18"/>
                <w:szCs w:val="18"/>
                <w:highlight w:val="none"/>
              </w:rPr>
              <w:fldChar w:fldCharType="begin"/>
            </w:r>
            <w:r>
              <w:rPr>
                <w:rFonts w:hint="eastAsia" w:ascii="宋体" w:hAnsi="宋体"/>
                <w:bCs/>
                <w:sz w:val="18"/>
                <w:szCs w:val="18"/>
                <w:highlight w:val="none"/>
              </w:rPr>
              <w:instrText xml:space="preserve"> = 3 \* GB3 </w:instrText>
            </w:r>
            <w:r>
              <w:rPr>
                <w:rFonts w:hint="eastAsia" w:ascii="宋体" w:hAnsi="宋体"/>
                <w:bCs/>
                <w:sz w:val="18"/>
                <w:szCs w:val="18"/>
                <w:highlight w:val="none"/>
              </w:rPr>
              <w:fldChar w:fldCharType="separate"/>
            </w:r>
            <w:r>
              <w:rPr>
                <w:rFonts w:hint="eastAsia" w:ascii="宋体" w:hAnsi="宋体"/>
                <w:bCs/>
                <w:sz w:val="18"/>
                <w:szCs w:val="18"/>
                <w:highlight w:val="none"/>
              </w:rPr>
              <w:t>③</w:t>
            </w:r>
            <w:r>
              <w:rPr>
                <w:rFonts w:hint="eastAsia" w:ascii="宋体" w:hAnsi="宋体"/>
                <w:bCs/>
                <w:sz w:val="18"/>
                <w:szCs w:val="18"/>
                <w:highlight w:val="none"/>
              </w:rPr>
              <w:fldChar w:fldCharType="end"/>
            </w:r>
            <w:r>
              <w:rPr>
                <w:rFonts w:hint="eastAsia" w:ascii="宋体" w:hAnsi="宋体"/>
                <w:bCs/>
                <w:sz w:val="18"/>
                <w:szCs w:val="18"/>
                <w:highlight w:val="none"/>
              </w:rPr>
              <w:t>交通安全设施养护资质（可以承担二级及以下公路交通安全设施的各类养护工程）或交通安全设施养护资质（可以承担各等级公路交通安全设施的各类养护工程）。</w:t>
            </w:r>
          </w:p>
        </w:tc>
      </w:tr>
      <w:tr w14:paraId="40903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527" w:type="pct"/>
            <w:vAlign w:val="center"/>
          </w:tcPr>
          <w:p w14:paraId="48C3F755">
            <w:pPr>
              <w:adjustRightInd w:val="0"/>
              <w:snapToGrid w:val="0"/>
              <w:spacing w:line="320" w:lineRule="exact"/>
              <w:jc w:val="center"/>
              <w:rPr>
                <w:rFonts w:hint="eastAsia" w:ascii="宋体" w:hAnsi="宋体"/>
                <w:bCs/>
                <w:sz w:val="18"/>
                <w:szCs w:val="18"/>
                <w:highlight w:val="none"/>
              </w:rPr>
            </w:pPr>
            <w:r>
              <w:rPr>
                <w:rFonts w:hint="eastAsia" w:ascii="黑体" w:hAnsi="黑体" w:eastAsia="黑体"/>
                <w:bCs/>
                <w:sz w:val="18"/>
                <w:szCs w:val="18"/>
                <w:highlight w:val="none"/>
              </w:rPr>
              <w:t>YB26YH04</w:t>
            </w:r>
          </w:p>
        </w:tc>
        <w:tc>
          <w:tcPr>
            <w:tcW w:w="365" w:type="pct"/>
            <w:tcBorders>
              <w:top w:val="single" w:color="auto" w:sz="4" w:space="0"/>
              <w:left w:val="single" w:color="000000" w:sz="4" w:space="0"/>
              <w:bottom w:val="single" w:color="auto" w:sz="4" w:space="0"/>
              <w:right w:val="single" w:color="000000" w:sz="4" w:space="0"/>
            </w:tcBorders>
            <w:vAlign w:val="center"/>
          </w:tcPr>
          <w:p w14:paraId="0A8D0F7D">
            <w:pPr>
              <w:adjustRightInd w:val="0"/>
              <w:snapToGrid w:val="0"/>
              <w:spacing w:line="320" w:lineRule="exact"/>
              <w:jc w:val="center"/>
              <w:rPr>
                <w:rFonts w:hint="eastAsia" w:ascii="宋体" w:hAnsi="宋体"/>
                <w:bCs/>
                <w:sz w:val="18"/>
                <w:szCs w:val="18"/>
                <w:highlight w:val="none"/>
              </w:rPr>
            </w:pPr>
            <w:r>
              <w:rPr>
                <w:rFonts w:hint="eastAsia" w:ascii="宋体" w:hAnsi="宋体"/>
                <w:bCs/>
                <w:sz w:val="18"/>
                <w:szCs w:val="18"/>
                <w:highlight w:val="none"/>
              </w:rPr>
              <w:t>二级</w:t>
            </w:r>
          </w:p>
        </w:tc>
        <w:tc>
          <w:tcPr>
            <w:tcW w:w="4108" w:type="pct"/>
            <w:tcBorders>
              <w:top w:val="single" w:color="auto" w:sz="4" w:space="0"/>
              <w:left w:val="single" w:color="000000" w:sz="4" w:space="0"/>
              <w:bottom w:val="single" w:color="auto" w:sz="4" w:space="0"/>
              <w:right w:val="single" w:color="000000" w:sz="4" w:space="0"/>
            </w:tcBorders>
            <w:vAlign w:val="center"/>
          </w:tcPr>
          <w:p w14:paraId="6097F49E">
            <w:pPr>
              <w:adjustRightInd w:val="0"/>
              <w:snapToGrid w:val="0"/>
              <w:spacing w:line="320" w:lineRule="exact"/>
              <w:rPr>
                <w:rFonts w:hint="eastAsia" w:ascii="宋体" w:hAnsi="宋体"/>
                <w:bCs/>
                <w:sz w:val="18"/>
                <w:szCs w:val="18"/>
                <w:highlight w:val="none"/>
              </w:rPr>
            </w:pPr>
            <w:r>
              <w:rPr>
                <w:rFonts w:hint="eastAsia" w:ascii="宋体" w:hAnsi="宋体"/>
                <w:bCs/>
                <w:sz w:val="18"/>
                <w:szCs w:val="18"/>
                <w:highlight w:val="none"/>
              </w:rPr>
              <w:t>交通运输主管部门核发的：</w:t>
            </w:r>
            <w:r>
              <w:rPr>
                <w:rFonts w:hint="eastAsia" w:ascii="宋体" w:hAnsi="宋体"/>
                <w:bCs/>
                <w:sz w:val="18"/>
                <w:szCs w:val="18"/>
                <w:highlight w:val="none"/>
              </w:rPr>
              <w:fldChar w:fldCharType="begin"/>
            </w:r>
            <w:r>
              <w:rPr>
                <w:rFonts w:hint="eastAsia" w:ascii="宋体" w:hAnsi="宋体"/>
                <w:bCs/>
                <w:sz w:val="18"/>
                <w:szCs w:val="18"/>
                <w:highlight w:val="none"/>
              </w:rPr>
              <w:instrText xml:space="preserve"> = 1 \* GB3 </w:instrText>
            </w:r>
            <w:r>
              <w:rPr>
                <w:rFonts w:hint="eastAsia" w:ascii="宋体" w:hAnsi="宋体"/>
                <w:bCs/>
                <w:sz w:val="18"/>
                <w:szCs w:val="18"/>
                <w:highlight w:val="none"/>
              </w:rPr>
              <w:fldChar w:fldCharType="separate"/>
            </w:r>
            <w:r>
              <w:rPr>
                <w:rFonts w:hint="eastAsia" w:ascii="宋体" w:hAnsi="宋体"/>
                <w:bCs/>
                <w:sz w:val="18"/>
                <w:szCs w:val="18"/>
                <w:highlight w:val="none"/>
              </w:rPr>
              <w:t>①</w:t>
            </w:r>
            <w:r>
              <w:rPr>
                <w:rFonts w:hint="eastAsia" w:ascii="宋体" w:hAnsi="宋体"/>
                <w:bCs/>
                <w:sz w:val="18"/>
                <w:szCs w:val="18"/>
                <w:highlight w:val="none"/>
              </w:rPr>
              <w:fldChar w:fldCharType="end"/>
            </w:r>
            <w:r>
              <w:rPr>
                <w:rFonts w:hint="eastAsia" w:ascii="宋体" w:hAnsi="宋体"/>
                <w:bCs/>
                <w:sz w:val="18"/>
                <w:szCs w:val="18"/>
                <w:highlight w:val="none"/>
              </w:rPr>
              <w:t>路基路面养护乙级（或甲级）资质；</w:t>
            </w:r>
            <w:r>
              <w:rPr>
                <w:rFonts w:hint="eastAsia" w:ascii="宋体" w:hAnsi="宋体"/>
                <w:bCs/>
                <w:sz w:val="18"/>
                <w:szCs w:val="18"/>
                <w:highlight w:val="none"/>
              </w:rPr>
              <w:fldChar w:fldCharType="begin"/>
            </w:r>
            <w:r>
              <w:rPr>
                <w:rFonts w:hint="eastAsia" w:ascii="宋体" w:hAnsi="宋体"/>
                <w:bCs/>
                <w:sz w:val="18"/>
                <w:szCs w:val="18"/>
                <w:highlight w:val="none"/>
              </w:rPr>
              <w:instrText xml:space="preserve"> = 2 \* GB3 </w:instrText>
            </w:r>
            <w:r>
              <w:rPr>
                <w:rFonts w:hint="eastAsia" w:ascii="宋体" w:hAnsi="宋体"/>
                <w:bCs/>
                <w:sz w:val="18"/>
                <w:szCs w:val="18"/>
                <w:highlight w:val="none"/>
              </w:rPr>
              <w:fldChar w:fldCharType="separate"/>
            </w:r>
            <w:r>
              <w:rPr>
                <w:rFonts w:hint="eastAsia" w:ascii="宋体" w:hAnsi="宋体"/>
                <w:bCs/>
                <w:sz w:val="18"/>
                <w:szCs w:val="18"/>
                <w:highlight w:val="none"/>
              </w:rPr>
              <w:t>②</w:t>
            </w:r>
            <w:r>
              <w:rPr>
                <w:rFonts w:hint="eastAsia" w:ascii="宋体" w:hAnsi="宋体"/>
                <w:bCs/>
                <w:sz w:val="18"/>
                <w:szCs w:val="18"/>
                <w:highlight w:val="none"/>
              </w:rPr>
              <w:fldChar w:fldCharType="end"/>
            </w:r>
            <w:r>
              <w:rPr>
                <w:rFonts w:hint="eastAsia" w:ascii="宋体" w:hAnsi="宋体"/>
                <w:bCs/>
                <w:sz w:val="18"/>
                <w:szCs w:val="18"/>
                <w:highlight w:val="none"/>
              </w:rPr>
              <w:t>桥梁养护乙级（或甲级）资质；</w:t>
            </w:r>
            <w:r>
              <w:rPr>
                <w:rFonts w:hint="eastAsia" w:ascii="宋体" w:hAnsi="宋体"/>
                <w:bCs/>
                <w:sz w:val="18"/>
                <w:szCs w:val="18"/>
                <w:highlight w:val="none"/>
              </w:rPr>
              <w:fldChar w:fldCharType="begin"/>
            </w:r>
            <w:r>
              <w:rPr>
                <w:rFonts w:hint="eastAsia" w:ascii="宋体" w:hAnsi="宋体"/>
                <w:bCs/>
                <w:sz w:val="18"/>
                <w:szCs w:val="18"/>
                <w:highlight w:val="none"/>
              </w:rPr>
              <w:instrText xml:space="preserve"> = 3 \* GB3 </w:instrText>
            </w:r>
            <w:r>
              <w:rPr>
                <w:rFonts w:hint="eastAsia" w:ascii="宋体" w:hAnsi="宋体"/>
                <w:bCs/>
                <w:sz w:val="18"/>
                <w:szCs w:val="18"/>
                <w:highlight w:val="none"/>
              </w:rPr>
              <w:fldChar w:fldCharType="separate"/>
            </w:r>
            <w:r>
              <w:rPr>
                <w:rFonts w:hint="eastAsia" w:ascii="宋体" w:hAnsi="宋体"/>
                <w:bCs/>
                <w:sz w:val="18"/>
                <w:szCs w:val="18"/>
                <w:highlight w:val="none"/>
              </w:rPr>
              <w:t>③</w:t>
            </w:r>
            <w:r>
              <w:rPr>
                <w:rFonts w:hint="eastAsia" w:ascii="宋体" w:hAnsi="宋体"/>
                <w:bCs/>
                <w:sz w:val="18"/>
                <w:szCs w:val="18"/>
                <w:highlight w:val="none"/>
              </w:rPr>
              <w:fldChar w:fldCharType="end"/>
            </w:r>
            <w:r>
              <w:rPr>
                <w:rFonts w:hint="eastAsia" w:ascii="宋体" w:hAnsi="宋体"/>
                <w:bCs/>
                <w:sz w:val="18"/>
                <w:szCs w:val="18"/>
                <w:highlight w:val="none"/>
              </w:rPr>
              <w:t>交通安全设施养护资质（可以承担二级及以下公路交通安全设施的各类养护工程）或交通安全设施养护资质（可以承担各等级公路交通安全设施的各类养护工程）；</w:t>
            </w:r>
            <w:r>
              <w:rPr>
                <w:rFonts w:hint="eastAsia" w:ascii="宋体" w:hAnsi="宋体"/>
                <w:bCs/>
                <w:sz w:val="18"/>
                <w:szCs w:val="18"/>
                <w:highlight w:val="none"/>
              </w:rPr>
              <w:t>建设行政主管部门核发的：</w:t>
            </w:r>
            <w:r>
              <w:rPr>
                <w:rFonts w:hint="eastAsia" w:ascii="宋体" w:hAnsi="宋体"/>
                <w:bCs/>
                <w:sz w:val="18"/>
                <w:szCs w:val="18"/>
                <w:highlight w:val="none"/>
              </w:rPr>
              <w:fldChar w:fldCharType="begin"/>
            </w:r>
            <w:r>
              <w:rPr>
                <w:rFonts w:hint="eastAsia" w:ascii="宋体" w:hAnsi="宋体"/>
                <w:bCs/>
                <w:sz w:val="18"/>
                <w:szCs w:val="18"/>
                <w:highlight w:val="none"/>
              </w:rPr>
              <w:instrText xml:space="preserve"> = 4 \* GB3 </w:instrText>
            </w:r>
            <w:r>
              <w:rPr>
                <w:rFonts w:hint="eastAsia" w:ascii="宋体" w:hAnsi="宋体"/>
                <w:bCs/>
                <w:sz w:val="18"/>
                <w:szCs w:val="18"/>
                <w:highlight w:val="none"/>
              </w:rPr>
              <w:fldChar w:fldCharType="separate"/>
            </w:r>
            <w:r>
              <w:rPr>
                <w:rFonts w:hint="eastAsia" w:ascii="宋体" w:hAnsi="宋体"/>
                <w:bCs/>
                <w:sz w:val="18"/>
                <w:szCs w:val="18"/>
                <w:highlight w:val="none"/>
              </w:rPr>
              <w:t>④</w:t>
            </w:r>
            <w:r>
              <w:rPr>
                <w:rFonts w:hint="eastAsia" w:ascii="宋体" w:hAnsi="宋体"/>
                <w:bCs/>
                <w:sz w:val="18"/>
                <w:szCs w:val="18"/>
                <w:highlight w:val="none"/>
              </w:rPr>
              <w:fldChar w:fldCharType="end"/>
            </w:r>
            <w:r>
              <w:rPr>
                <w:rFonts w:hint="eastAsia" w:ascii="宋体" w:hAnsi="宋体"/>
                <w:bCs/>
                <w:sz w:val="18"/>
                <w:szCs w:val="18"/>
                <w:highlight w:val="none"/>
              </w:rPr>
              <w:t>公路交通工程专业承包（公路机电工程分项）二级（或一级）资质。</w:t>
            </w:r>
          </w:p>
        </w:tc>
      </w:tr>
      <w:tr w14:paraId="3458C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527" w:type="pct"/>
            <w:vAlign w:val="center"/>
          </w:tcPr>
          <w:p w14:paraId="76F9E7C4">
            <w:pPr>
              <w:adjustRightInd w:val="0"/>
              <w:snapToGrid w:val="0"/>
              <w:spacing w:line="320" w:lineRule="exact"/>
              <w:jc w:val="center"/>
              <w:rPr>
                <w:rFonts w:hint="eastAsia" w:ascii="宋体" w:hAnsi="宋体"/>
                <w:bCs/>
                <w:sz w:val="18"/>
                <w:szCs w:val="18"/>
                <w:highlight w:val="none"/>
              </w:rPr>
            </w:pPr>
            <w:r>
              <w:rPr>
                <w:rFonts w:hint="eastAsia" w:ascii="黑体" w:hAnsi="黑体" w:eastAsia="黑体"/>
                <w:bCs/>
                <w:sz w:val="18"/>
                <w:szCs w:val="18"/>
                <w:highlight w:val="none"/>
              </w:rPr>
              <w:t>YB26YH05</w:t>
            </w:r>
          </w:p>
        </w:tc>
        <w:tc>
          <w:tcPr>
            <w:tcW w:w="365" w:type="pct"/>
            <w:tcBorders>
              <w:top w:val="single" w:color="auto" w:sz="4" w:space="0"/>
              <w:left w:val="single" w:color="000000" w:sz="4" w:space="0"/>
              <w:bottom w:val="single" w:color="auto" w:sz="4" w:space="0"/>
              <w:right w:val="single" w:color="000000" w:sz="4" w:space="0"/>
            </w:tcBorders>
            <w:vAlign w:val="center"/>
          </w:tcPr>
          <w:p w14:paraId="4FF2E1AE">
            <w:pPr>
              <w:adjustRightInd w:val="0"/>
              <w:snapToGrid w:val="0"/>
              <w:spacing w:line="320" w:lineRule="exact"/>
              <w:jc w:val="center"/>
              <w:rPr>
                <w:rFonts w:hint="eastAsia" w:ascii="宋体" w:hAnsi="宋体"/>
                <w:bCs/>
                <w:sz w:val="18"/>
                <w:szCs w:val="18"/>
                <w:highlight w:val="none"/>
              </w:rPr>
            </w:pPr>
            <w:r>
              <w:rPr>
                <w:rFonts w:hint="eastAsia" w:ascii="宋体" w:hAnsi="宋体"/>
                <w:bCs/>
                <w:sz w:val="18"/>
                <w:szCs w:val="18"/>
                <w:highlight w:val="none"/>
              </w:rPr>
              <w:t>一级及二级</w:t>
            </w:r>
          </w:p>
        </w:tc>
        <w:tc>
          <w:tcPr>
            <w:tcW w:w="4108" w:type="pct"/>
            <w:tcBorders>
              <w:top w:val="single" w:color="auto" w:sz="4" w:space="0"/>
              <w:left w:val="single" w:color="000000" w:sz="4" w:space="0"/>
              <w:bottom w:val="single" w:color="auto" w:sz="4" w:space="0"/>
              <w:right w:val="single" w:color="000000" w:sz="4" w:space="0"/>
            </w:tcBorders>
            <w:vAlign w:val="center"/>
          </w:tcPr>
          <w:p w14:paraId="33C8AB1A">
            <w:pPr>
              <w:adjustRightInd w:val="0"/>
              <w:snapToGrid w:val="0"/>
              <w:spacing w:line="320" w:lineRule="exact"/>
              <w:rPr>
                <w:rFonts w:hint="eastAsia" w:ascii="宋体" w:hAnsi="宋体"/>
                <w:bCs/>
                <w:sz w:val="18"/>
                <w:szCs w:val="18"/>
                <w:highlight w:val="none"/>
              </w:rPr>
            </w:pPr>
            <w:r>
              <w:rPr>
                <w:rFonts w:hint="eastAsia" w:ascii="宋体" w:hAnsi="宋体"/>
                <w:bCs/>
                <w:sz w:val="18"/>
                <w:szCs w:val="18"/>
                <w:highlight w:val="none"/>
              </w:rPr>
              <w:t>交通运输主管部门核发的：</w:t>
            </w:r>
            <w:r>
              <w:rPr>
                <w:rFonts w:hint="eastAsia" w:ascii="宋体" w:hAnsi="宋体"/>
                <w:bCs/>
                <w:sz w:val="18"/>
                <w:szCs w:val="18"/>
                <w:highlight w:val="none"/>
              </w:rPr>
              <w:fldChar w:fldCharType="begin"/>
            </w:r>
            <w:r>
              <w:rPr>
                <w:rFonts w:hint="eastAsia" w:ascii="宋体" w:hAnsi="宋体"/>
                <w:bCs/>
                <w:sz w:val="18"/>
                <w:szCs w:val="18"/>
                <w:highlight w:val="none"/>
              </w:rPr>
              <w:instrText xml:space="preserve"> = 1 \* GB3 </w:instrText>
            </w:r>
            <w:r>
              <w:rPr>
                <w:rFonts w:hint="eastAsia" w:ascii="宋体" w:hAnsi="宋体"/>
                <w:bCs/>
                <w:sz w:val="18"/>
                <w:szCs w:val="18"/>
                <w:highlight w:val="none"/>
              </w:rPr>
              <w:fldChar w:fldCharType="separate"/>
            </w:r>
            <w:r>
              <w:rPr>
                <w:rFonts w:hint="eastAsia" w:ascii="宋体" w:hAnsi="宋体"/>
                <w:bCs/>
                <w:sz w:val="18"/>
                <w:szCs w:val="18"/>
                <w:highlight w:val="none"/>
              </w:rPr>
              <w:t>①</w:t>
            </w:r>
            <w:r>
              <w:rPr>
                <w:rFonts w:hint="eastAsia" w:ascii="宋体" w:hAnsi="宋体"/>
                <w:bCs/>
                <w:sz w:val="18"/>
                <w:szCs w:val="18"/>
                <w:highlight w:val="none"/>
              </w:rPr>
              <w:fldChar w:fldCharType="end"/>
            </w:r>
            <w:r>
              <w:rPr>
                <w:rFonts w:hint="eastAsia" w:ascii="宋体" w:hAnsi="宋体"/>
                <w:bCs/>
                <w:sz w:val="18"/>
                <w:szCs w:val="18"/>
                <w:highlight w:val="none"/>
              </w:rPr>
              <w:t>路基路面养护甲级资质；</w:t>
            </w:r>
            <w:r>
              <w:rPr>
                <w:rFonts w:hint="eastAsia" w:ascii="宋体" w:hAnsi="宋体"/>
                <w:bCs/>
                <w:sz w:val="18"/>
                <w:szCs w:val="18"/>
                <w:highlight w:val="none"/>
              </w:rPr>
              <w:fldChar w:fldCharType="begin"/>
            </w:r>
            <w:r>
              <w:rPr>
                <w:rFonts w:hint="eastAsia" w:ascii="宋体" w:hAnsi="宋体"/>
                <w:bCs/>
                <w:sz w:val="18"/>
                <w:szCs w:val="18"/>
                <w:highlight w:val="none"/>
              </w:rPr>
              <w:instrText xml:space="preserve"> = 2 \* GB3 </w:instrText>
            </w:r>
            <w:r>
              <w:rPr>
                <w:rFonts w:hint="eastAsia" w:ascii="宋体" w:hAnsi="宋体"/>
                <w:bCs/>
                <w:sz w:val="18"/>
                <w:szCs w:val="18"/>
                <w:highlight w:val="none"/>
              </w:rPr>
              <w:fldChar w:fldCharType="separate"/>
            </w:r>
            <w:r>
              <w:rPr>
                <w:rFonts w:hint="eastAsia" w:ascii="宋体" w:hAnsi="宋体"/>
                <w:bCs/>
                <w:sz w:val="18"/>
                <w:szCs w:val="18"/>
                <w:highlight w:val="none"/>
              </w:rPr>
              <w:t>②</w:t>
            </w:r>
            <w:r>
              <w:rPr>
                <w:rFonts w:hint="eastAsia" w:ascii="宋体" w:hAnsi="宋体"/>
                <w:bCs/>
                <w:sz w:val="18"/>
                <w:szCs w:val="18"/>
                <w:highlight w:val="none"/>
              </w:rPr>
              <w:fldChar w:fldCharType="end"/>
            </w:r>
            <w:r>
              <w:rPr>
                <w:rFonts w:hint="eastAsia" w:ascii="宋体" w:hAnsi="宋体"/>
                <w:bCs/>
                <w:sz w:val="18"/>
                <w:szCs w:val="18"/>
                <w:highlight w:val="none"/>
              </w:rPr>
              <w:t>桥梁养护乙级（或甲级）资质；</w:t>
            </w:r>
            <w:r>
              <w:rPr>
                <w:rFonts w:hint="eastAsia" w:ascii="宋体" w:hAnsi="宋体"/>
                <w:bCs/>
                <w:sz w:val="18"/>
                <w:szCs w:val="18"/>
                <w:highlight w:val="none"/>
              </w:rPr>
              <w:fldChar w:fldCharType="begin"/>
            </w:r>
            <w:r>
              <w:rPr>
                <w:rFonts w:hint="eastAsia" w:ascii="宋体" w:hAnsi="宋体"/>
                <w:bCs/>
                <w:sz w:val="18"/>
                <w:szCs w:val="18"/>
                <w:highlight w:val="none"/>
              </w:rPr>
              <w:instrText xml:space="preserve"> = 3 \* GB3 </w:instrText>
            </w:r>
            <w:r>
              <w:rPr>
                <w:rFonts w:hint="eastAsia" w:ascii="宋体" w:hAnsi="宋体"/>
                <w:bCs/>
                <w:sz w:val="18"/>
                <w:szCs w:val="18"/>
                <w:highlight w:val="none"/>
              </w:rPr>
              <w:fldChar w:fldCharType="separate"/>
            </w:r>
            <w:r>
              <w:rPr>
                <w:rFonts w:hint="eastAsia" w:ascii="宋体" w:hAnsi="宋体"/>
                <w:bCs/>
                <w:sz w:val="18"/>
                <w:szCs w:val="18"/>
                <w:highlight w:val="none"/>
              </w:rPr>
              <w:t>③</w:t>
            </w:r>
            <w:r>
              <w:rPr>
                <w:rFonts w:hint="eastAsia" w:ascii="宋体" w:hAnsi="宋体"/>
                <w:bCs/>
                <w:sz w:val="18"/>
                <w:szCs w:val="18"/>
                <w:highlight w:val="none"/>
              </w:rPr>
              <w:fldChar w:fldCharType="end"/>
            </w:r>
            <w:r>
              <w:rPr>
                <w:rFonts w:hint="eastAsia" w:ascii="宋体" w:hAnsi="宋体"/>
                <w:bCs/>
                <w:sz w:val="18"/>
                <w:szCs w:val="18"/>
                <w:highlight w:val="none"/>
              </w:rPr>
              <w:t>交通安全设施养护资质（可以承担各等级公路交通安全设施的各类养护工程）</w:t>
            </w:r>
            <w:r>
              <w:rPr>
                <w:rFonts w:hint="eastAsia" w:ascii="宋体" w:hAnsi="宋体"/>
                <w:bCs/>
                <w:sz w:val="18"/>
                <w:szCs w:val="18"/>
                <w:highlight w:val="none"/>
              </w:rPr>
              <w:t>；建设行政主管部门核发的：</w:t>
            </w:r>
            <w:r>
              <w:rPr>
                <w:rFonts w:hint="eastAsia" w:ascii="宋体" w:hAnsi="宋体"/>
                <w:bCs/>
                <w:sz w:val="18"/>
                <w:szCs w:val="18"/>
                <w:highlight w:val="none"/>
              </w:rPr>
              <w:fldChar w:fldCharType="begin"/>
            </w:r>
            <w:r>
              <w:rPr>
                <w:rFonts w:hint="eastAsia" w:ascii="宋体" w:hAnsi="宋体"/>
                <w:bCs/>
                <w:sz w:val="18"/>
                <w:szCs w:val="18"/>
                <w:highlight w:val="none"/>
              </w:rPr>
              <w:instrText xml:space="preserve"> = 4 \* GB3 </w:instrText>
            </w:r>
            <w:r>
              <w:rPr>
                <w:rFonts w:hint="eastAsia" w:ascii="宋体" w:hAnsi="宋体"/>
                <w:bCs/>
                <w:sz w:val="18"/>
                <w:szCs w:val="18"/>
                <w:highlight w:val="none"/>
              </w:rPr>
              <w:fldChar w:fldCharType="separate"/>
            </w:r>
            <w:r>
              <w:rPr>
                <w:rFonts w:hint="eastAsia" w:ascii="宋体" w:hAnsi="宋体"/>
                <w:bCs/>
                <w:sz w:val="18"/>
                <w:szCs w:val="18"/>
                <w:highlight w:val="none"/>
              </w:rPr>
              <w:t>④</w:t>
            </w:r>
            <w:r>
              <w:rPr>
                <w:rFonts w:hint="eastAsia" w:ascii="宋体" w:hAnsi="宋体"/>
                <w:bCs/>
                <w:sz w:val="18"/>
                <w:szCs w:val="18"/>
                <w:highlight w:val="none"/>
              </w:rPr>
              <w:fldChar w:fldCharType="end"/>
            </w:r>
            <w:r>
              <w:rPr>
                <w:rFonts w:hint="eastAsia" w:ascii="宋体" w:hAnsi="宋体"/>
                <w:bCs/>
                <w:sz w:val="18"/>
                <w:szCs w:val="18"/>
                <w:highlight w:val="none"/>
              </w:rPr>
              <w:t>公路交通工程专业承包（公路机电工程分项）二级（或一级）资质。</w:t>
            </w:r>
          </w:p>
        </w:tc>
      </w:tr>
      <w:tr w14:paraId="570B6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527" w:type="pct"/>
            <w:vAlign w:val="center"/>
          </w:tcPr>
          <w:p w14:paraId="4C7A748D">
            <w:pPr>
              <w:adjustRightInd w:val="0"/>
              <w:snapToGrid w:val="0"/>
              <w:spacing w:line="320" w:lineRule="exact"/>
              <w:jc w:val="center"/>
              <w:rPr>
                <w:rFonts w:hint="eastAsia" w:ascii="宋体" w:hAnsi="宋体"/>
                <w:bCs/>
                <w:sz w:val="18"/>
                <w:szCs w:val="18"/>
                <w:highlight w:val="none"/>
              </w:rPr>
            </w:pPr>
            <w:r>
              <w:rPr>
                <w:rFonts w:hint="eastAsia" w:ascii="黑体" w:hAnsi="黑体" w:eastAsia="黑体"/>
                <w:bCs/>
                <w:sz w:val="18"/>
                <w:szCs w:val="18"/>
                <w:highlight w:val="none"/>
              </w:rPr>
              <w:t>YB26YH06</w:t>
            </w:r>
          </w:p>
        </w:tc>
        <w:tc>
          <w:tcPr>
            <w:tcW w:w="365" w:type="pct"/>
            <w:tcBorders>
              <w:top w:val="single" w:color="auto" w:sz="4" w:space="0"/>
              <w:left w:val="single" w:color="000000" w:sz="4" w:space="0"/>
              <w:bottom w:val="single" w:color="auto" w:sz="4" w:space="0"/>
              <w:right w:val="single" w:color="000000" w:sz="4" w:space="0"/>
            </w:tcBorders>
            <w:vAlign w:val="center"/>
          </w:tcPr>
          <w:p w14:paraId="3479B5AE">
            <w:pPr>
              <w:adjustRightInd w:val="0"/>
              <w:snapToGrid w:val="0"/>
              <w:spacing w:line="320" w:lineRule="exact"/>
              <w:jc w:val="center"/>
              <w:rPr>
                <w:rFonts w:hint="eastAsia" w:ascii="宋体" w:hAnsi="宋体"/>
                <w:bCs/>
                <w:sz w:val="18"/>
                <w:szCs w:val="18"/>
                <w:highlight w:val="none"/>
              </w:rPr>
            </w:pPr>
            <w:r>
              <w:rPr>
                <w:rFonts w:hint="eastAsia" w:ascii="宋体" w:hAnsi="宋体"/>
                <w:bCs/>
                <w:sz w:val="18"/>
                <w:szCs w:val="18"/>
                <w:highlight w:val="none"/>
              </w:rPr>
              <w:t>一级及二级</w:t>
            </w:r>
          </w:p>
        </w:tc>
        <w:tc>
          <w:tcPr>
            <w:tcW w:w="4108" w:type="pct"/>
            <w:tcBorders>
              <w:top w:val="single" w:color="auto" w:sz="4" w:space="0"/>
              <w:left w:val="single" w:color="000000" w:sz="4" w:space="0"/>
              <w:bottom w:val="single" w:color="auto" w:sz="4" w:space="0"/>
              <w:right w:val="single" w:color="000000" w:sz="4" w:space="0"/>
            </w:tcBorders>
            <w:vAlign w:val="center"/>
          </w:tcPr>
          <w:p w14:paraId="3C3BA3E5">
            <w:pPr>
              <w:adjustRightInd w:val="0"/>
              <w:snapToGrid w:val="0"/>
              <w:spacing w:line="320" w:lineRule="exact"/>
              <w:rPr>
                <w:rFonts w:hint="eastAsia" w:ascii="宋体" w:hAnsi="宋体"/>
                <w:bCs/>
                <w:sz w:val="18"/>
                <w:szCs w:val="18"/>
                <w:highlight w:val="none"/>
              </w:rPr>
            </w:pPr>
            <w:r>
              <w:rPr>
                <w:rFonts w:hint="eastAsia" w:ascii="宋体" w:hAnsi="宋体"/>
                <w:bCs/>
                <w:sz w:val="18"/>
                <w:szCs w:val="18"/>
                <w:highlight w:val="none"/>
              </w:rPr>
              <w:t>交通运输主管部门核发的：</w:t>
            </w:r>
            <w:r>
              <w:rPr>
                <w:rFonts w:hint="eastAsia" w:ascii="宋体" w:hAnsi="宋体"/>
                <w:bCs/>
                <w:sz w:val="18"/>
                <w:szCs w:val="18"/>
                <w:highlight w:val="none"/>
              </w:rPr>
              <w:fldChar w:fldCharType="begin"/>
            </w:r>
            <w:r>
              <w:rPr>
                <w:rFonts w:hint="eastAsia" w:ascii="宋体" w:hAnsi="宋体"/>
                <w:bCs/>
                <w:sz w:val="18"/>
                <w:szCs w:val="18"/>
                <w:highlight w:val="none"/>
              </w:rPr>
              <w:instrText xml:space="preserve"> = 1 \* GB3 </w:instrText>
            </w:r>
            <w:r>
              <w:rPr>
                <w:rFonts w:hint="eastAsia" w:ascii="宋体" w:hAnsi="宋体"/>
                <w:bCs/>
                <w:sz w:val="18"/>
                <w:szCs w:val="18"/>
                <w:highlight w:val="none"/>
              </w:rPr>
              <w:fldChar w:fldCharType="separate"/>
            </w:r>
            <w:r>
              <w:rPr>
                <w:rFonts w:hint="eastAsia" w:ascii="宋体" w:hAnsi="宋体"/>
                <w:bCs/>
                <w:sz w:val="18"/>
                <w:szCs w:val="18"/>
                <w:highlight w:val="none"/>
              </w:rPr>
              <w:t>①</w:t>
            </w:r>
            <w:r>
              <w:rPr>
                <w:rFonts w:hint="eastAsia" w:ascii="宋体" w:hAnsi="宋体"/>
                <w:bCs/>
                <w:sz w:val="18"/>
                <w:szCs w:val="18"/>
                <w:highlight w:val="none"/>
              </w:rPr>
              <w:fldChar w:fldCharType="end"/>
            </w:r>
            <w:r>
              <w:rPr>
                <w:rFonts w:hint="eastAsia" w:ascii="宋体" w:hAnsi="宋体"/>
                <w:bCs/>
                <w:sz w:val="18"/>
                <w:szCs w:val="18"/>
                <w:highlight w:val="none"/>
              </w:rPr>
              <w:t>路基路面养护甲级资质；</w:t>
            </w:r>
            <w:r>
              <w:rPr>
                <w:rFonts w:hint="eastAsia" w:ascii="宋体" w:hAnsi="宋体"/>
                <w:bCs/>
                <w:sz w:val="18"/>
                <w:szCs w:val="18"/>
                <w:highlight w:val="none"/>
              </w:rPr>
              <w:fldChar w:fldCharType="begin"/>
            </w:r>
            <w:r>
              <w:rPr>
                <w:rFonts w:hint="eastAsia" w:ascii="宋体" w:hAnsi="宋体"/>
                <w:bCs/>
                <w:sz w:val="18"/>
                <w:szCs w:val="18"/>
                <w:highlight w:val="none"/>
              </w:rPr>
              <w:instrText xml:space="preserve"> = 2 \* GB3 </w:instrText>
            </w:r>
            <w:r>
              <w:rPr>
                <w:rFonts w:hint="eastAsia" w:ascii="宋体" w:hAnsi="宋体"/>
                <w:bCs/>
                <w:sz w:val="18"/>
                <w:szCs w:val="18"/>
                <w:highlight w:val="none"/>
              </w:rPr>
              <w:fldChar w:fldCharType="separate"/>
            </w:r>
            <w:r>
              <w:rPr>
                <w:rFonts w:hint="eastAsia" w:ascii="宋体" w:hAnsi="宋体"/>
                <w:bCs/>
                <w:sz w:val="18"/>
                <w:szCs w:val="18"/>
                <w:highlight w:val="none"/>
              </w:rPr>
              <w:t>②</w:t>
            </w:r>
            <w:r>
              <w:rPr>
                <w:rFonts w:hint="eastAsia" w:ascii="宋体" w:hAnsi="宋体"/>
                <w:bCs/>
                <w:sz w:val="18"/>
                <w:szCs w:val="18"/>
                <w:highlight w:val="none"/>
              </w:rPr>
              <w:fldChar w:fldCharType="end"/>
            </w:r>
            <w:r>
              <w:rPr>
                <w:rFonts w:hint="eastAsia" w:ascii="宋体" w:hAnsi="宋体"/>
                <w:bCs/>
                <w:sz w:val="18"/>
                <w:szCs w:val="18"/>
                <w:highlight w:val="none"/>
              </w:rPr>
              <w:t>桥梁养护乙级（或甲级）资质；</w:t>
            </w:r>
            <w:r>
              <w:rPr>
                <w:rFonts w:hint="eastAsia" w:ascii="宋体" w:hAnsi="宋体"/>
                <w:bCs/>
                <w:sz w:val="18"/>
                <w:szCs w:val="18"/>
                <w:highlight w:val="none"/>
              </w:rPr>
              <w:fldChar w:fldCharType="begin"/>
            </w:r>
            <w:r>
              <w:rPr>
                <w:rFonts w:hint="eastAsia" w:ascii="宋体" w:hAnsi="宋体"/>
                <w:bCs/>
                <w:sz w:val="18"/>
                <w:szCs w:val="18"/>
                <w:highlight w:val="none"/>
              </w:rPr>
              <w:instrText xml:space="preserve"> = 3 \* GB3 </w:instrText>
            </w:r>
            <w:r>
              <w:rPr>
                <w:rFonts w:hint="eastAsia" w:ascii="宋体" w:hAnsi="宋体"/>
                <w:bCs/>
                <w:sz w:val="18"/>
                <w:szCs w:val="18"/>
                <w:highlight w:val="none"/>
              </w:rPr>
              <w:fldChar w:fldCharType="separate"/>
            </w:r>
            <w:r>
              <w:rPr>
                <w:rFonts w:hint="eastAsia" w:ascii="宋体" w:hAnsi="宋体"/>
                <w:bCs/>
                <w:sz w:val="18"/>
                <w:szCs w:val="18"/>
                <w:highlight w:val="none"/>
              </w:rPr>
              <w:t>③</w:t>
            </w:r>
            <w:r>
              <w:rPr>
                <w:rFonts w:hint="eastAsia" w:ascii="宋体" w:hAnsi="宋体"/>
                <w:bCs/>
                <w:sz w:val="18"/>
                <w:szCs w:val="18"/>
                <w:highlight w:val="none"/>
              </w:rPr>
              <w:fldChar w:fldCharType="end"/>
            </w:r>
            <w:r>
              <w:rPr>
                <w:rFonts w:hint="eastAsia" w:ascii="宋体" w:hAnsi="宋体"/>
                <w:bCs/>
                <w:sz w:val="18"/>
                <w:szCs w:val="18"/>
                <w:highlight w:val="none"/>
              </w:rPr>
              <w:t>交通安全设施养护资质（可以承担各等级公路交通安全设施的各类养护工程）。</w:t>
            </w:r>
          </w:p>
        </w:tc>
      </w:tr>
      <w:tr w14:paraId="09BC9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527" w:type="pct"/>
            <w:vAlign w:val="center"/>
          </w:tcPr>
          <w:p w14:paraId="6B2B498F">
            <w:pPr>
              <w:adjustRightInd w:val="0"/>
              <w:snapToGrid w:val="0"/>
              <w:spacing w:line="320" w:lineRule="exact"/>
              <w:jc w:val="center"/>
              <w:rPr>
                <w:rFonts w:hint="eastAsia" w:ascii="宋体" w:hAnsi="宋体"/>
                <w:bCs/>
                <w:sz w:val="18"/>
                <w:szCs w:val="18"/>
                <w:highlight w:val="none"/>
              </w:rPr>
            </w:pPr>
            <w:r>
              <w:rPr>
                <w:rFonts w:hint="eastAsia" w:ascii="黑体" w:hAnsi="黑体" w:eastAsia="黑体"/>
                <w:bCs/>
                <w:sz w:val="18"/>
                <w:szCs w:val="18"/>
                <w:highlight w:val="none"/>
              </w:rPr>
              <w:t>YB26YH07</w:t>
            </w:r>
          </w:p>
        </w:tc>
        <w:tc>
          <w:tcPr>
            <w:tcW w:w="365" w:type="pct"/>
            <w:tcBorders>
              <w:top w:val="single" w:color="auto" w:sz="4" w:space="0"/>
              <w:left w:val="single" w:color="000000" w:sz="4" w:space="0"/>
              <w:bottom w:val="single" w:color="auto" w:sz="4" w:space="0"/>
              <w:right w:val="single" w:color="000000" w:sz="4" w:space="0"/>
            </w:tcBorders>
            <w:vAlign w:val="center"/>
          </w:tcPr>
          <w:p w14:paraId="079DAAC9">
            <w:pPr>
              <w:adjustRightInd w:val="0"/>
              <w:snapToGrid w:val="0"/>
              <w:spacing w:line="320" w:lineRule="exact"/>
              <w:jc w:val="center"/>
              <w:rPr>
                <w:rFonts w:hint="eastAsia" w:ascii="宋体" w:hAnsi="宋体"/>
                <w:bCs/>
                <w:sz w:val="18"/>
                <w:szCs w:val="18"/>
                <w:highlight w:val="none"/>
              </w:rPr>
            </w:pPr>
            <w:r>
              <w:rPr>
                <w:rFonts w:hint="eastAsia" w:ascii="宋体" w:hAnsi="宋体"/>
                <w:bCs/>
                <w:sz w:val="18"/>
                <w:szCs w:val="18"/>
                <w:highlight w:val="none"/>
              </w:rPr>
              <w:t xml:space="preserve">二级 </w:t>
            </w:r>
          </w:p>
        </w:tc>
        <w:tc>
          <w:tcPr>
            <w:tcW w:w="4108" w:type="pct"/>
            <w:tcBorders>
              <w:top w:val="single" w:color="auto" w:sz="4" w:space="0"/>
              <w:left w:val="single" w:color="000000" w:sz="4" w:space="0"/>
              <w:bottom w:val="single" w:color="auto" w:sz="4" w:space="0"/>
              <w:right w:val="single" w:color="000000" w:sz="4" w:space="0"/>
            </w:tcBorders>
            <w:vAlign w:val="center"/>
          </w:tcPr>
          <w:p w14:paraId="46AD8463">
            <w:pPr>
              <w:adjustRightInd w:val="0"/>
              <w:snapToGrid w:val="0"/>
              <w:spacing w:line="320" w:lineRule="exact"/>
              <w:rPr>
                <w:rFonts w:hint="eastAsia" w:ascii="宋体" w:hAnsi="宋体"/>
                <w:bCs/>
                <w:sz w:val="18"/>
                <w:szCs w:val="18"/>
                <w:highlight w:val="none"/>
              </w:rPr>
            </w:pPr>
            <w:r>
              <w:rPr>
                <w:rFonts w:hint="eastAsia" w:ascii="宋体" w:hAnsi="宋体"/>
                <w:bCs/>
                <w:sz w:val="18"/>
                <w:szCs w:val="18"/>
                <w:highlight w:val="none"/>
              </w:rPr>
              <w:t>交通运输主管部门核发的：</w:t>
            </w:r>
            <w:r>
              <w:rPr>
                <w:rFonts w:hint="eastAsia" w:ascii="宋体" w:hAnsi="宋体"/>
                <w:bCs/>
                <w:sz w:val="18"/>
                <w:szCs w:val="18"/>
                <w:highlight w:val="none"/>
              </w:rPr>
              <w:fldChar w:fldCharType="begin"/>
            </w:r>
            <w:r>
              <w:rPr>
                <w:rFonts w:hint="eastAsia" w:ascii="宋体" w:hAnsi="宋体"/>
                <w:bCs/>
                <w:sz w:val="18"/>
                <w:szCs w:val="18"/>
                <w:highlight w:val="none"/>
              </w:rPr>
              <w:instrText xml:space="preserve"> = 1 \* GB3 </w:instrText>
            </w:r>
            <w:r>
              <w:rPr>
                <w:rFonts w:hint="eastAsia" w:ascii="宋体" w:hAnsi="宋体"/>
                <w:bCs/>
                <w:sz w:val="18"/>
                <w:szCs w:val="18"/>
                <w:highlight w:val="none"/>
              </w:rPr>
              <w:fldChar w:fldCharType="separate"/>
            </w:r>
            <w:r>
              <w:rPr>
                <w:rFonts w:hint="eastAsia" w:ascii="宋体" w:hAnsi="宋体"/>
                <w:bCs/>
                <w:sz w:val="18"/>
                <w:szCs w:val="18"/>
                <w:highlight w:val="none"/>
              </w:rPr>
              <w:t>①</w:t>
            </w:r>
            <w:r>
              <w:rPr>
                <w:rFonts w:hint="eastAsia" w:ascii="宋体" w:hAnsi="宋体"/>
                <w:bCs/>
                <w:sz w:val="18"/>
                <w:szCs w:val="18"/>
                <w:highlight w:val="none"/>
              </w:rPr>
              <w:fldChar w:fldCharType="end"/>
            </w:r>
            <w:r>
              <w:rPr>
                <w:rFonts w:hint="eastAsia" w:ascii="宋体" w:hAnsi="宋体"/>
                <w:bCs/>
                <w:sz w:val="18"/>
                <w:szCs w:val="18"/>
                <w:highlight w:val="none"/>
              </w:rPr>
              <w:t>路基路面养护乙级（或甲级）资质；</w:t>
            </w:r>
            <w:r>
              <w:rPr>
                <w:rFonts w:hint="eastAsia" w:ascii="宋体" w:hAnsi="宋体"/>
                <w:bCs/>
                <w:sz w:val="18"/>
                <w:szCs w:val="18"/>
                <w:highlight w:val="none"/>
              </w:rPr>
              <w:fldChar w:fldCharType="begin"/>
            </w:r>
            <w:r>
              <w:rPr>
                <w:rFonts w:hint="eastAsia" w:ascii="宋体" w:hAnsi="宋体"/>
                <w:bCs/>
                <w:sz w:val="18"/>
                <w:szCs w:val="18"/>
                <w:highlight w:val="none"/>
              </w:rPr>
              <w:instrText xml:space="preserve"> = 2 \* GB3 </w:instrText>
            </w:r>
            <w:r>
              <w:rPr>
                <w:rFonts w:hint="eastAsia" w:ascii="宋体" w:hAnsi="宋体"/>
                <w:bCs/>
                <w:sz w:val="18"/>
                <w:szCs w:val="18"/>
                <w:highlight w:val="none"/>
              </w:rPr>
              <w:fldChar w:fldCharType="separate"/>
            </w:r>
            <w:r>
              <w:rPr>
                <w:rFonts w:hint="eastAsia" w:ascii="宋体" w:hAnsi="宋体"/>
                <w:bCs/>
                <w:sz w:val="18"/>
                <w:szCs w:val="18"/>
                <w:highlight w:val="none"/>
              </w:rPr>
              <w:t>②</w:t>
            </w:r>
            <w:r>
              <w:rPr>
                <w:rFonts w:hint="eastAsia" w:ascii="宋体" w:hAnsi="宋体"/>
                <w:bCs/>
                <w:sz w:val="18"/>
                <w:szCs w:val="18"/>
                <w:highlight w:val="none"/>
              </w:rPr>
              <w:fldChar w:fldCharType="end"/>
            </w:r>
            <w:r>
              <w:rPr>
                <w:rFonts w:hint="eastAsia" w:ascii="宋体" w:hAnsi="宋体"/>
                <w:bCs/>
                <w:sz w:val="18"/>
                <w:szCs w:val="18"/>
                <w:highlight w:val="none"/>
              </w:rPr>
              <w:t>桥梁养护乙级（或甲级）资质；</w:t>
            </w:r>
            <w:r>
              <w:rPr>
                <w:rFonts w:hint="eastAsia" w:ascii="宋体" w:hAnsi="宋体"/>
                <w:bCs/>
                <w:sz w:val="18"/>
                <w:szCs w:val="18"/>
                <w:highlight w:val="none"/>
              </w:rPr>
              <w:fldChar w:fldCharType="begin"/>
            </w:r>
            <w:r>
              <w:rPr>
                <w:rFonts w:hint="eastAsia" w:ascii="宋体" w:hAnsi="宋体"/>
                <w:bCs/>
                <w:sz w:val="18"/>
                <w:szCs w:val="18"/>
                <w:highlight w:val="none"/>
              </w:rPr>
              <w:instrText xml:space="preserve"> = 3 \* GB3 </w:instrText>
            </w:r>
            <w:r>
              <w:rPr>
                <w:rFonts w:hint="eastAsia" w:ascii="宋体" w:hAnsi="宋体"/>
                <w:bCs/>
                <w:sz w:val="18"/>
                <w:szCs w:val="18"/>
                <w:highlight w:val="none"/>
              </w:rPr>
              <w:fldChar w:fldCharType="separate"/>
            </w:r>
            <w:r>
              <w:rPr>
                <w:rFonts w:hint="eastAsia" w:ascii="宋体" w:hAnsi="宋体"/>
                <w:bCs/>
                <w:sz w:val="18"/>
                <w:szCs w:val="18"/>
                <w:highlight w:val="none"/>
              </w:rPr>
              <w:t>③</w:t>
            </w:r>
            <w:r>
              <w:rPr>
                <w:rFonts w:hint="eastAsia" w:ascii="宋体" w:hAnsi="宋体"/>
                <w:bCs/>
                <w:sz w:val="18"/>
                <w:szCs w:val="18"/>
                <w:highlight w:val="none"/>
              </w:rPr>
              <w:fldChar w:fldCharType="end"/>
            </w:r>
            <w:r>
              <w:rPr>
                <w:rFonts w:hint="eastAsia" w:ascii="宋体" w:hAnsi="宋体"/>
                <w:bCs/>
                <w:sz w:val="18"/>
                <w:szCs w:val="18"/>
                <w:highlight w:val="none"/>
              </w:rPr>
              <w:t>交通安全设施养护资质（可以承担二级及以下公路交通安全设施的各类养护工程）或交通安全设施养护资质（可以承担各等级公路交通安全设施的各类养护工程）。</w:t>
            </w:r>
          </w:p>
        </w:tc>
      </w:tr>
      <w:tr w14:paraId="27C3F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527" w:type="pct"/>
            <w:vAlign w:val="center"/>
          </w:tcPr>
          <w:p w14:paraId="56093DDE">
            <w:pPr>
              <w:adjustRightInd w:val="0"/>
              <w:snapToGrid w:val="0"/>
              <w:spacing w:line="320" w:lineRule="exact"/>
              <w:jc w:val="center"/>
              <w:rPr>
                <w:rFonts w:hint="eastAsia" w:ascii="黑体" w:hAnsi="黑体" w:eastAsia="黑体"/>
                <w:bCs/>
                <w:sz w:val="18"/>
                <w:szCs w:val="18"/>
                <w:highlight w:val="none"/>
              </w:rPr>
            </w:pPr>
            <w:r>
              <w:rPr>
                <w:rFonts w:hint="eastAsia" w:ascii="黑体" w:hAnsi="黑体" w:eastAsia="黑体"/>
                <w:bCs/>
                <w:sz w:val="18"/>
                <w:szCs w:val="18"/>
                <w:highlight w:val="none"/>
              </w:rPr>
              <w:t>YB26YH08</w:t>
            </w:r>
          </w:p>
        </w:tc>
        <w:tc>
          <w:tcPr>
            <w:tcW w:w="365" w:type="pct"/>
            <w:tcBorders>
              <w:top w:val="single" w:color="auto" w:sz="4" w:space="0"/>
              <w:left w:val="single" w:color="000000" w:sz="4" w:space="0"/>
              <w:bottom w:val="single" w:color="auto" w:sz="4" w:space="0"/>
              <w:right w:val="single" w:color="000000" w:sz="4" w:space="0"/>
            </w:tcBorders>
            <w:vAlign w:val="center"/>
          </w:tcPr>
          <w:p w14:paraId="3B975FC4">
            <w:pPr>
              <w:adjustRightInd w:val="0"/>
              <w:snapToGrid w:val="0"/>
              <w:spacing w:line="320" w:lineRule="exact"/>
              <w:jc w:val="center"/>
              <w:rPr>
                <w:rFonts w:hint="eastAsia" w:ascii="宋体" w:hAnsi="宋体"/>
                <w:bCs/>
                <w:sz w:val="18"/>
                <w:szCs w:val="18"/>
                <w:highlight w:val="none"/>
              </w:rPr>
            </w:pPr>
            <w:r>
              <w:rPr>
                <w:rFonts w:hint="eastAsia" w:ascii="宋体" w:hAnsi="宋体"/>
                <w:bCs/>
                <w:sz w:val="18"/>
                <w:szCs w:val="18"/>
                <w:highlight w:val="none"/>
              </w:rPr>
              <w:t>二级</w:t>
            </w:r>
          </w:p>
        </w:tc>
        <w:tc>
          <w:tcPr>
            <w:tcW w:w="4108" w:type="pct"/>
            <w:tcBorders>
              <w:top w:val="single" w:color="auto" w:sz="4" w:space="0"/>
              <w:left w:val="single" w:color="000000" w:sz="4" w:space="0"/>
              <w:bottom w:val="single" w:color="auto" w:sz="4" w:space="0"/>
              <w:right w:val="single" w:color="000000" w:sz="4" w:space="0"/>
            </w:tcBorders>
            <w:vAlign w:val="center"/>
          </w:tcPr>
          <w:p w14:paraId="3941AE2E">
            <w:pPr>
              <w:adjustRightInd w:val="0"/>
              <w:snapToGrid w:val="0"/>
              <w:spacing w:line="320" w:lineRule="exact"/>
              <w:rPr>
                <w:rFonts w:hint="eastAsia" w:ascii="宋体" w:hAnsi="宋体"/>
                <w:bCs/>
                <w:sz w:val="18"/>
                <w:szCs w:val="18"/>
                <w:highlight w:val="none"/>
              </w:rPr>
            </w:pPr>
            <w:r>
              <w:rPr>
                <w:rFonts w:hint="eastAsia" w:ascii="宋体" w:hAnsi="宋体"/>
                <w:bCs/>
                <w:sz w:val="18"/>
                <w:szCs w:val="18"/>
                <w:highlight w:val="none"/>
              </w:rPr>
              <w:t>交通运输主管部门核发的：</w:t>
            </w:r>
            <w:r>
              <w:rPr>
                <w:rFonts w:hint="eastAsia" w:ascii="宋体" w:hAnsi="宋体"/>
                <w:bCs/>
                <w:sz w:val="18"/>
                <w:szCs w:val="18"/>
                <w:highlight w:val="none"/>
              </w:rPr>
              <w:fldChar w:fldCharType="begin"/>
            </w:r>
            <w:r>
              <w:rPr>
                <w:rFonts w:hint="eastAsia" w:ascii="宋体" w:hAnsi="宋体"/>
                <w:bCs/>
                <w:sz w:val="18"/>
                <w:szCs w:val="18"/>
                <w:highlight w:val="none"/>
              </w:rPr>
              <w:instrText xml:space="preserve"> = 1 \* GB3 </w:instrText>
            </w:r>
            <w:r>
              <w:rPr>
                <w:rFonts w:hint="eastAsia" w:ascii="宋体" w:hAnsi="宋体"/>
                <w:bCs/>
                <w:sz w:val="18"/>
                <w:szCs w:val="18"/>
                <w:highlight w:val="none"/>
              </w:rPr>
              <w:fldChar w:fldCharType="separate"/>
            </w:r>
            <w:r>
              <w:rPr>
                <w:rFonts w:hint="eastAsia" w:ascii="宋体" w:hAnsi="宋体"/>
                <w:bCs/>
                <w:sz w:val="18"/>
                <w:szCs w:val="18"/>
                <w:highlight w:val="none"/>
              </w:rPr>
              <w:t>①</w:t>
            </w:r>
            <w:r>
              <w:rPr>
                <w:rFonts w:hint="eastAsia" w:ascii="宋体" w:hAnsi="宋体"/>
                <w:bCs/>
                <w:sz w:val="18"/>
                <w:szCs w:val="18"/>
                <w:highlight w:val="none"/>
              </w:rPr>
              <w:fldChar w:fldCharType="end"/>
            </w:r>
            <w:r>
              <w:rPr>
                <w:rFonts w:hint="eastAsia" w:ascii="宋体" w:hAnsi="宋体"/>
                <w:bCs/>
                <w:sz w:val="18"/>
                <w:szCs w:val="18"/>
                <w:highlight w:val="none"/>
              </w:rPr>
              <w:t>路基路面养护乙级（或甲级）资质；</w:t>
            </w:r>
            <w:r>
              <w:rPr>
                <w:rFonts w:hint="eastAsia" w:ascii="宋体" w:hAnsi="宋体"/>
                <w:bCs/>
                <w:sz w:val="18"/>
                <w:szCs w:val="18"/>
                <w:highlight w:val="none"/>
              </w:rPr>
              <w:fldChar w:fldCharType="begin"/>
            </w:r>
            <w:r>
              <w:rPr>
                <w:rFonts w:hint="eastAsia" w:ascii="宋体" w:hAnsi="宋体"/>
                <w:bCs/>
                <w:sz w:val="18"/>
                <w:szCs w:val="18"/>
                <w:highlight w:val="none"/>
              </w:rPr>
              <w:instrText xml:space="preserve"> = 2 \* GB3 </w:instrText>
            </w:r>
            <w:r>
              <w:rPr>
                <w:rFonts w:hint="eastAsia" w:ascii="宋体" w:hAnsi="宋体"/>
                <w:bCs/>
                <w:sz w:val="18"/>
                <w:szCs w:val="18"/>
                <w:highlight w:val="none"/>
              </w:rPr>
              <w:fldChar w:fldCharType="separate"/>
            </w:r>
            <w:r>
              <w:rPr>
                <w:rFonts w:hint="eastAsia" w:ascii="宋体" w:hAnsi="宋体"/>
                <w:bCs/>
                <w:sz w:val="18"/>
                <w:szCs w:val="18"/>
                <w:highlight w:val="none"/>
              </w:rPr>
              <w:t>②</w:t>
            </w:r>
            <w:r>
              <w:rPr>
                <w:rFonts w:hint="eastAsia" w:ascii="宋体" w:hAnsi="宋体"/>
                <w:bCs/>
                <w:sz w:val="18"/>
                <w:szCs w:val="18"/>
                <w:highlight w:val="none"/>
              </w:rPr>
              <w:fldChar w:fldCharType="end"/>
            </w:r>
            <w:r>
              <w:rPr>
                <w:rFonts w:hint="eastAsia" w:ascii="宋体" w:hAnsi="宋体"/>
                <w:bCs/>
                <w:sz w:val="18"/>
                <w:szCs w:val="18"/>
                <w:highlight w:val="none"/>
              </w:rPr>
              <w:t>交通安全设施养护资质（可以承担二级及以下公路交通安全设施的各类养护工程）或交通安全设施养护资质（可以承担各等级公路交通安全设施的各类养护工程）。</w:t>
            </w:r>
          </w:p>
        </w:tc>
      </w:tr>
      <w:bookmarkEnd w:id="47"/>
    </w:tbl>
    <w:p w14:paraId="10E0903E">
      <w:pPr>
        <w:adjustRightInd w:val="0"/>
        <w:snapToGrid w:val="0"/>
        <w:spacing w:line="380" w:lineRule="exact"/>
        <w:ind w:firstLine="420" w:firstLineChars="200"/>
        <w:rPr>
          <w:rFonts w:hint="eastAsia" w:ascii="黑体" w:hAnsi="黑体" w:eastAsia="黑体"/>
          <w:bCs/>
          <w:szCs w:val="21"/>
          <w:highlight w:val="none"/>
        </w:rPr>
      </w:pPr>
      <w:r>
        <w:rPr>
          <w:rFonts w:ascii="宋体" w:hAnsi="宋体"/>
          <w:bCs/>
          <w:szCs w:val="21"/>
          <w:highlight w:val="none"/>
          <w:lang w:bidi="en-US"/>
        </w:rPr>
        <w:t>3.2</w:t>
      </w:r>
      <w:r>
        <w:rPr>
          <w:rFonts w:hint="eastAsia" w:ascii="黑体" w:hAnsi="黑体" w:eastAsia="黑体"/>
          <w:bCs/>
          <w:szCs w:val="21"/>
          <w:highlight w:val="none"/>
        </w:rPr>
        <w:t xml:space="preserve"> YB26YH04标段、YB26YH05标段：</w:t>
      </w:r>
      <w:r>
        <w:rPr>
          <w:rFonts w:ascii="宋体" w:hAnsi="宋体"/>
          <w:bCs/>
          <w:szCs w:val="21"/>
          <w:highlight w:val="none"/>
          <w:lang w:bidi="en-US"/>
        </w:rPr>
        <w:t>投标人在投标截止时间前应已进入交通运输部“</w:t>
      </w:r>
      <w:r>
        <w:rPr>
          <w:rFonts w:hint="eastAsia" w:ascii="宋体" w:hAnsi="宋体"/>
          <w:bCs/>
          <w:color w:val="000000"/>
          <w:szCs w:val="21"/>
          <w:highlight w:val="none"/>
        </w:rPr>
        <w:t>全国公路建设市场监督管理系统</w:t>
      </w:r>
      <w:r>
        <w:rPr>
          <w:rFonts w:ascii="宋体" w:hAnsi="宋体"/>
          <w:bCs/>
          <w:szCs w:val="21"/>
          <w:highlight w:val="none"/>
          <w:lang w:bidi="en-US"/>
        </w:rPr>
        <w:t>”中的公路工程施工资质企业名录</w:t>
      </w:r>
      <w:r>
        <w:rPr>
          <w:rFonts w:hint="eastAsia" w:ascii="宋体" w:hAnsi="宋体"/>
          <w:bCs/>
          <w:szCs w:val="21"/>
          <w:highlight w:val="none"/>
          <w:lang w:bidi="en-US"/>
        </w:rPr>
        <w:t>（</w:t>
      </w:r>
      <w:r>
        <w:rPr>
          <w:rFonts w:hint="eastAsia" w:ascii="宋体" w:hAnsi="宋体"/>
          <w:bCs/>
          <w:szCs w:val="21"/>
          <w:highlight w:val="none"/>
          <w:lang w:bidi="en-US"/>
        </w:rPr>
        <w:t>仅适用于</w:t>
      </w:r>
      <w:r>
        <w:rPr>
          <w:rFonts w:hint="eastAsia" w:ascii="宋体" w:hAnsi="宋体"/>
          <w:bCs/>
          <w:szCs w:val="21"/>
          <w:highlight w:val="none"/>
        </w:rPr>
        <w:t>公路机电工程分项资质）</w:t>
      </w:r>
      <w:r>
        <w:rPr>
          <w:rFonts w:ascii="宋体" w:hAnsi="宋体"/>
          <w:bCs/>
          <w:szCs w:val="21"/>
          <w:highlight w:val="none"/>
          <w:lang w:bidi="en-US"/>
        </w:rPr>
        <w:t>，且投标人名称和资质与该名录中的相应企业名称和资质完全一致。</w:t>
      </w:r>
    </w:p>
    <w:p w14:paraId="3B655387">
      <w:pPr>
        <w:adjustRightInd w:val="0"/>
        <w:snapToGrid w:val="0"/>
        <w:spacing w:line="380" w:lineRule="exact"/>
        <w:ind w:firstLine="420" w:firstLineChars="200"/>
        <w:rPr>
          <w:rFonts w:hint="eastAsia" w:ascii="宋体" w:hAnsi="宋体"/>
          <w:bCs/>
          <w:szCs w:val="21"/>
          <w:highlight w:val="none"/>
        </w:rPr>
      </w:pPr>
      <w:r>
        <w:rPr>
          <w:rFonts w:hint="eastAsia" w:ascii="宋体" w:hAnsi="宋体"/>
          <w:bCs/>
          <w:szCs w:val="21"/>
          <w:highlight w:val="none"/>
        </w:rPr>
        <w:t>3.</w:t>
      </w:r>
      <w:bookmarkStart w:id="52" w:name="_Hlk186123879"/>
      <w:r>
        <w:rPr>
          <w:rFonts w:hint="eastAsia" w:ascii="宋体" w:hAnsi="宋体"/>
          <w:bCs/>
          <w:szCs w:val="21"/>
          <w:highlight w:val="none"/>
        </w:rPr>
        <w:t>3本</w:t>
      </w:r>
      <w:bookmarkStart w:id="53" w:name="_Hlk187329246"/>
      <w:r>
        <w:rPr>
          <w:rFonts w:hint="eastAsia" w:ascii="宋体" w:hAnsi="宋体"/>
          <w:bCs/>
          <w:szCs w:val="21"/>
          <w:highlight w:val="none"/>
        </w:rPr>
        <w:t>次招标</w:t>
      </w:r>
      <w:r>
        <w:rPr>
          <w:rFonts w:hint="eastAsia" w:ascii="黑体" w:hAnsi="黑体" w:eastAsia="黑体"/>
          <w:bCs/>
          <w:szCs w:val="21"/>
          <w:highlight w:val="none"/>
          <w:u w:val="single"/>
        </w:rPr>
        <w:t>接受</w:t>
      </w:r>
      <w:r>
        <w:rPr>
          <w:rFonts w:hint="eastAsia" w:ascii="宋体" w:hAnsi="宋体"/>
          <w:bCs/>
          <w:szCs w:val="21"/>
          <w:highlight w:val="none"/>
        </w:rPr>
        <w:t>联合体投标。联合体投标的，应满足以下联合体要求：</w:t>
      </w:r>
    </w:p>
    <w:p w14:paraId="499418FD">
      <w:pPr>
        <w:adjustRightInd w:val="0"/>
        <w:snapToGrid w:val="0"/>
        <w:spacing w:line="380" w:lineRule="exact"/>
        <w:ind w:firstLine="420" w:firstLineChars="200"/>
        <w:rPr>
          <w:rFonts w:hint="eastAsia" w:ascii="黑体" w:hAnsi="黑体" w:eastAsia="黑体"/>
          <w:bCs/>
          <w:szCs w:val="21"/>
          <w:highlight w:val="none"/>
        </w:rPr>
      </w:pPr>
      <w:bookmarkStart w:id="54" w:name="OLE_LINK10"/>
      <w:r>
        <w:rPr>
          <w:rFonts w:hint="eastAsia" w:ascii="黑体" w:hAnsi="黑体" w:eastAsia="黑体"/>
          <w:bCs/>
          <w:szCs w:val="21"/>
          <w:highlight w:val="none"/>
        </w:rPr>
        <w:t>YB26YH03标段、YB26YH07标段：</w:t>
      </w:r>
    </w:p>
    <w:bookmarkEnd w:id="54"/>
    <w:p w14:paraId="518F7DA0">
      <w:pPr>
        <w:adjustRightInd w:val="0"/>
        <w:snapToGrid w:val="0"/>
        <w:spacing w:line="380" w:lineRule="exact"/>
        <w:ind w:firstLine="420" w:firstLineChars="200"/>
        <w:rPr>
          <w:rFonts w:hint="eastAsia" w:ascii="宋体" w:hAnsi="宋体"/>
          <w:bCs/>
          <w:szCs w:val="21"/>
          <w:highlight w:val="none"/>
        </w:rPr>
      </w:pPr>
      <w:r>
        <w:rPr>
          <w:rFonts w:hint="eastAsia" w:ascii="宋体" w:hAnsi="宋体"/>
          <w:bCs/>
          <w:szCs w:val="21"/>
          <w:highlight w:val="none"/>
        </w:rPr>
        <w:t>（1）联合体所有成员数量不得超</w:t>
      </w:r>
      <w:r>
        <w:rPr>
          <w:rFonts w:hint="eastAsia" w:ascii="宋体" w:hAnsi="宋体"/>
          <w:bCs/>
          <w:szCs w:val="21"/>
          <w:highlight w:val="none"/>
        </w:rPr>
        <w:t>过</w:t>
      </w:r>
      <w:r>
        <w:rPr>
          <w:rFonts w:hint="eastAsia" w:ascii="黑体" w:hAnsi="黑体" w:eastAsia="黑体"/>
          <w:bCs/>
          <w:szCs w:val="21"/>
          <w:highlight w:val="none"/>
        </w:rPr>
        <w:t>3</w:t>
      </w:r>
      <w:r>
        <w:rPr>
          <w:rFonts w:hint="eastAsia" w:ascii="黑体" w:hAnsi="黑体" w:eastAsia="黑体"/>
          <w:bCs/>
          <w:szCs w:val="21"/>
          <w:highlight w:val="none"/>
        </w:rPr>
        <w:t>家</w:t>
      </w:r>
      <w:r>
        <w:rPr>
          <w:rFonts w:hint="eastAsia" w:ascii="宋体" w:hAnsi="宋体"/>
          <w:bCs/>
          <w:szCs w:val="21"/>
          <w:highlight w:val="none"/>
        </w:rPr>
        <w:t>；</w:t>
      </w:r>
    </w:p>
    <w:p w14:paraId="08D33A32">
      <w:pPr>
        <w:adjustRightInd w:val="0"/>
        <w:snapToGrid w:val="0"/>
        <w:spacing w:line="380" w:lineRule="exact"/>
        <w:ind w:firstLine="420" w:firstLineChars="200"/>
        <w:rPr>
          <w:rFonts w:hint="eastAsia" w:ascii="宋体" w:hAnsi="宋体" w:cs="宋体"/>
          <w:bCs/>
          <w:szCs w:val="21"/>
          <w:highlight w:val="none"/>
        </w:rPr>
      </w:pPr>
      <w:r>
        <w:rPr>
          <w:rFonts w:hint="eastAsia" w:ascii="宋体" w:hAnsi="宋体"/>
          <w:bCs/>
          <w:szCs w:val="21"/>
          <w:highlight w:val="none"/>
        </w:rPr>
        <w:t>（2）联合体牵头人应具有交通运输主管部门核发的</w:t>
      </w:r>
      <w:r>
        <w:rPr>
          <w:rFonts w:hint="eastAsia" w:ascii="黑体" w:hAnsi="黑体" w:eastAsia="黑体"/>
          <w:bCs/>
          <w:szCs w:val="21"/>
          <w:highlight w:val="none"/>
        </w:rPr>
        <w:t>路基路面养护乙级</w:t>
      </w:r>
      <w:r>
        <w:rPr>
          <w:rFonts w:hint="eastAsia" w:ascii="宋体" w:hAnsi="宋体"/>
          <w:bCs/>
          <w:szCs w:val="21"/>
          <w:highlight w:val="none"/>
        </w:rPr>
        <w:t>（或甲级）资质，并至少承担路基路面养护施工</w:t>
      </w:r>
      <w:r>
        <w:rPr>
          <w:rFonts w:hint="eastAsia" w:ascii="宋体" w:hAnsi="宋体" w:cs="宋体"/>
          <w:bCs/>
          <w:szCs w:val="21"/>
          <w:highlight w:val="none"/>
        </w:rPr>
        <w:t>；</w:t>
      </w:r>
    </w:p>
    <w:p w14:paraId="2A6C4630">
      <w:pPr>
        <w:adjustRightInd w:val="0"/>
        <w:snapToGrid w:val="0"/>
        <w:spacing w:line="380" w:lineRule="exact"/>
        <w:ind w:firstLine="420" w:firstLineChars="200"/>
        <w:rPr>
          <w:rFonts w:hint="eastAsia" w:ascii="宋体" w:hAnsi="宋体"/>
          <w:bCs/>
          <w:szCs w:val="21"/>
          <w:highlight w:val="none"/>
        </w:rPr>
      </w:pPr>
      <w:r>
        <w:rPr>
          <w:rFonts w:hint="eastAsia" w:ascii="宋体" w:hAnsi="宋体"/>
          <w:bCs/>
          <w:szCs w:val="21"/>
          <w:highlight w:val="none"/>
        </w:rPr>
        <w:t>（3）符合招标文件对联合体的其他要求。</w:t>
      </w:r>
    </w:p>
    <w:p w14:paraId="01417999">
      <w:pPr>
        <w:adjustRightInd w:val="0"/>
        <w:snapToGrid w:val="0"/>
        <w:spacing w:line="380" w:lineRule="exact"/>
        <w:ind w:firstLine="420" w:firstLineChars="200"/>
        <w:rPr>
          <w:rFonts w:hint="eastAsia" w:ascii="黑体" w:hAnsi="黑体" w:eastAsia="黑体"/>
          <w:bCs/>
          <w:szCs w:val="21"/>
          <w:highlight w:val="none"/>
        </w:rPr>
      </w:pPr>
      <w:r>
        <w:rPr>
          <w:rFonts w:hint="eastAsia" w:ascii="黑体" w:hAnsi="黑体" w:eastAsia="黑体"/>
          <w:bCs/>
          <w:szCs w:val="21"/>
          <w:highlight w:val="none"/>
        </w:rPr>
        <w:t>YB26YH04标段：</w:t>
      </w:r>
    </w:p>
    <w:p w14:paraId="3AE0D737">
      <w:pPr>
        <w:adjustRightInd w:val="0"/>
        <w:snapToGrid w:val="0"/>
        <w:spacing w:line="380" w:lineRule="exact"/>
        <w:ind w:firstLine="420" w:firstLineChars="200"/>
        <w:rPr>
          <w:rFonts w:hint="eastAsia" w:ascii="宋体" w:hAnsi="宋体"/>
          <w:bCs/>
          <w:szCs w:val="21"/>
          <w:highlight w:val="none"/>
        </w:rPr>
      </w:pPr>
      <w:r>
        <w:rPr>
          <w:rFonts w:hint="eastAsia" w:ascii="宋体" w:hAnsi="宋体"/>
          <w:bCs/>
          <w:szCs w:val="21"/>
          <w:highlight w:val="none"/>
        </w:rPr>
        <w:t>（1）联合体所有成员数量</w:t>
      </w:r>
      <w:r>
        <w:rPr>
          <w:rFonts w:hint="eastAsia" w:ascii="宋体" w:hAnsi="宋体"/>
          <w:bCs/>
          <w:szCs w:val="21"/>
          <w:highlight w:val="none"/>
        </w:rPr>
        <w:t>不得超过</w:t>
      </w:r>
      <w:r>
        <w:rPr>
          <w:rFonts w:hint="eastAsia" w:ascii="黑体" w:hAnsi="黑体" w:eastAsia="黑体"/>
          <w:bCs/>
          <w:szCs w:val="21"/>
          <w:highlight w:val="none"/>
        </w:rPr>
        <w:t>4家</w:t>
      </w:r>
      <w:r>
        <w:rPr>
          <w:rFonts w:hint="eastAsia" w:ascii="宋体" w:hAnsi="宋体"/>
          <w:bCs/>
          <w:szCs w:val="21"/>
          <w:highlight w:val="none"/>
        </w:rPr>
        <w:t>；</w:t>
      </w:r>
    </w:p>
    <w:p w14:paraId="5EAD3DFB">
      <w:pPr>
        <w:adjustRightInd w:val="0"/>
        <w:snapToGrid w:val="0"/>
        <w:spacing w:line="380" w:lineRule="exact"/>
        <w:ind w:firstLine="420" w:firstLineChars="200"/>
        <w:rPr>
          <w:rFonts w:hint="eastAsia" w:ascii="宋体" w:hAnsi="宋体" w:cs="宋体"/>
          <w:bCs/>
          <w:szCs w:val="21"/>
          <w:highlight w:val="none"/>
        </w:rPr>
      </w:pPr>
      <w:r>
        <w:rPr>
          <w:rFonts w:hint="eastAsia" w:ascii="宋体" w:hAnsi="宋体"/>
          <w:bCs/>
          <w:szCs w:val="21"/>
          <w:highlight w:val="none"/>
        </w:rPr>
        <w:t>（2）联合体牵头人应具有交通运输主管部门核发的</w:t>
      </w:r>
      <w:r>
        <w:rPr>
          <w:rFonts w:hint="eastAsia" w:ascii="黑体" w:hAnsi="黑体" w:eastAsia="黑体"/>
          <w:bCs/>
          <w:szCs w:val="21"/>
          <w:highlight w:val="none"/>
        </w:rPr>
        <w:t>路基路面养护乙级</w:t>
      </w:r>
      <w:r>
        <w:rPr>
          <w:rFonts w:hint="eastAsia" w:ascii="宋体" w:hAnsi="宋体"/>
          <w:bCs/>
          <w:szCs w:val="21"/>
          <w:highlight w:val="none"/>
        </w:rPr>
        <w:t>（或甲级）资质，并至少承担路基路面养护施工</w:t>
      </w:r>
      <w:r>
        <w:rPr>
          <w:rFonts w:hint="eastAsia" w:ascii="宋体" w:hAnsi="宋体" w:cs="宋体"/>
          <w:bCs/>
          <w:szCs w:val="21"/>
          <w:highlight w:val="none"/>
        </w:rPr>
        <w:t>；</w:t>
      </w:r>
    </w:p>
    <w:bookmarkEnd w:id="52"/>
    <w:p w14:paraId="372FC0B1">
      <w:pPr>
        <w:adjustRightInd w:val="0"/>
        <w:snapToGrid w:val="0"/>
        <w:spacing w:line="380" w:lineRule="exact"/>
        <w:ind w:firstLine="420" w:firstLineChars="200"/>
        <w:rPr>
          <w:rFonts w:hint="eastAsia" w:ascii="宋体" w:hAnsi="宋体"/>
          <w:bCs/>
          <w:szCs w:val="21"/>
          <w:highlight w:val="none"/>
        </w:rPr>
      </w:pPr>
      <w:r>
        <w:rPr>
          <w:rFonts w:hint="eastAsia" w:ascii="宋体" w:hAnsi="宋体"/>
          <w:bCs/>
          <w:szCs w:val="21"/>
          <w:highlight w:val="none"/>
        </w:rPr>
        <w:t>（3）符合招标文件对联合体的其他要求。</w:t>
      </w:r>
    </w:p>
    <w:p w14:paraId="635D95DB">
      <w:pPr>
        <w:adjustRightInd w:val="0"/>
        <w:snapToGrid w:val="0"/>
        <w:spacing w:line="380" w:lineRule="exact"/>
        <w:ind w:firstLine="420" w:firstLineChars="200"/>
        <w:rPr>
          <w:rFonts w:hint="eastAsia" w:ascii="黑体" w:hAnsi="黑体" w:eastAsia="黑体"/>
          <w:bCs/>
          <w:szCs w:val="21"/>
          <w:highlight w:val="none"/>
        </w:rPr>
      </w:pPr>
      <w:r>
        <w:rPr>
          <w:rFonts w:hint="eastAsia" w:ascii="黑体" w:hAnsi="黑体" w:eastAsia="黑体"/>
          <w:bCs/>
          <w:szCs w:val="21"/>
          <w:highlight w:val="none"/>
        </w:rPr>
        <w:t>YB26YH05标段：</w:t>
      </w:r>
    </w:p>
    <w:p w14:paraId="184AE115">
      <w:pPr>
        <w:adjustRightInd w:val="0"/>
        <w:snapToGrid w:val="0"/>
        <w:spacing w:line="380" w:lineRule="exact"/>
        <w:ind w:firstLine="420" w:firstLineChars="200"/>
        <w:rPr>
          <w:rFonts w:hint="eastAsia" w:ascii="宋体" w:hAnsi="宋体"/>
          <w:bCs/>
          <w:szCs w:val="21"/>
          <w:highlight w:val="none"/>
        </w:rPr>
      </w:pPr>
      <w:r>
        <w:rPr>
          <w:rFonts w:hint="eastAsia" w:ascii="宋体" w:hAnsi="宋体"/>
          <w:bCs/>
          <w:szCs w:val="21"/>
          <w:highlight w:val="none"/>
        </w:rPr>
        <w:t>（1）联合体所有成员数量</w:t>
      </w:r>
      <w:r>
        <w:rPr>
          <w:rFonts w:hint="eastAsia" w:ascii="宋体" w:hAnsi="宋体"/>
          <w:bCs/>
          <w:szCs w:val="21"/>
          <w:highlight w:val="none"/>
        </w:rPr>
        <w:t>不得超过</w:t>
      </w:r>
      <w:r>
        <w:rPr>
          <w:rFonts w:hint="eastAsia" w:ascii="黑体" w:hAnsi="黑体" w:eastAsia="黑体"/>
          <w:bCs/>
          <w:szCs w:val="21"/>
          <w:highlight w:val="none"/>
        </w:rPr>
        <w:t>4家</w:t>
      </w:r>
      <w:r>
        <w:rPr>
          <w:rFonts w:hint="eastAsia" w:ascii="宋体" w:hAnsi="宋体"/>
          <w:bCs/>
          <w:szCs w:val="21"/>
          <w:highlight w:val="none"/>
        </w:rPr>
        <w:t>；</w:t>
      </w:r>
    </w:p>
    <w:p w14:paraId="0BA99309">
      <w:pPr>
        <w:adjustRightInd w:val="0"/>
        <w:snapToGrid w:val="0"/>
        <w:spacing w:line="380" w:lineRule="exact"/>
        <w:ind w:firstLine="420" w:firstLineChars="200"/>
        <w:rPr>
          <w:rFonts w:hint="eastAsia" w:ascii="宋体" w:hAnsi="宋体" w:cs="宋体"/>
          <w:bCs/>
          <w:szCs w:val="21"/>
          <w:highlight w:val="none"/>
        </w:rPr>
      </w:pPr>
      <w:r>
        <w:rPr>
          <w:rFonts w:hint="eastAsia" w:ascii="宋体" w:hAnsi="宋体"/>
          <w:bCs/>
          <w:szCs w:val="21"/>
          <w:highlight w:val="none"/>
        </w:rPr>
        <w:t>（2）联合体牵头人应具有交通运输主管部门核发的</w:t>
      </w:r>
      <w:r>
        <w:rPr>
          <w:rFonts w:hint="eastAsia" w:ascii="黑体" w:hAnsi="黑体" w:eastAsia="黑体"/>
          <w:bCs/>
          <w:szCs w:val="21"/>
          <w:highlight w:val="none"/>
        </w:rPr>
        <w:t>路基路面养护甲级</w:t>
      </w:r>
      <w:r>
        <w:rPr>
          <w:rFonts w:hint="eastAsia" w:ascii="宋体" w:hAnsi="宋体"/>
          <w:bCs/>
          <w:szCs w:val="21"/>
          <w:highlight w:val="none"/>
        </w:rPr>
        <w:t>资质，并至少承担路基路面养护施工</w:t>
      </w:r>
      <w:r>
        <w:rPr>
          <w:rFonts w:hint="eastAsia" w:ascii="宋体" w:hAnsi="宋体" w:cs="宋体"/>
          <w:bCs/>
          <w:szCs w:val="21"/>
          <w:highlight w:val="none"/>
        </w:rPr>
        <w:t>；</w:t>
      </w:r>
    </w:p>
    <w:p w14:paraId="037A80C9">
      <w:pPr>
        <w:adjustRightInd w:val="0"/>
        <w:snapToGrid w:val="0"/>
        <w:spacing w:line="380" w:lineRule="exact"/>
        <w:ind w:firstLine="420" w:firstLineChars="200"/>
        <w:rPr>
          <w:rFonts w:hint="eastAsia" w:ascii="宋体" w:hAnsi="宋体"/>
          <w:bCs/>
          <w:szCs w:val="21"/>
          <w:highlight w:val="none"/>
        </w:rPr>
      </w:pPr>
      <w:r>
        <w:rPr>
          <w:rFonts w:hint="eastAsia" w:ascii="宋体" w:hAnsi="宋体"/>
          <w:bCs/>
          <w:szCs w:val="21"/>
          <w:highlight w:val="none"/>
        </w:rPr>
        <w:t>（3）符合招标文件对联合体的其他要求。</w:t>
      </w:r>
    </w:p>
    <w:p w14:paraId="57BA01AA">
      <w:pPr>
        <w:adjustRightInd w:val="0"/>
        <w:snapToGrid w:val="0"/>
        <w:spacing w:line="380" w:lineRule="exact"/>
        <w:ind w:firstLine="420" w:firstLineChars="200"/>
        <w:rPr>
          <w:rFonts w:hint="eastAsia" w:ascii="宋体" w:hAnsi="宋体"/>
          <w:bCs/>
          <w:szCs w:val="21"/>
          <w:highlight w:val="none"/>
        </w:rPr>
      </w:pPr>
      <w:r>
        <w:rPr>
          <w:rFonts w:hint="eastAsia" w:ascii="黑体" w:hAnsi="黑体" w:eastAsia="黑体"/>
          <w:bCs/>
          <w:szCs w:val="21"/>
          <w:highlight w:val="none"/>
        </w:rPr>
        <w:t>YB26YH06标段：</w:t>
      </w:r>
    </w:p>
    <w:p w14:paraId="15DEB339">
      <w:pPr>
        <w:adjustRightInd w:val="0"/>
        <w:snapToGrid w:val="0"/>
        <w:spacing w:line="380" w:lineRule="exact"/>
        <w:ind w:firstLine="420" w:firstLineChars="200"/>
        <w:rPr>
          <w:rFonts w:hint="eastAsia" w:ascii="宋体" w:hAnsi="宋体"/>
          <w:bCs/>
          <w:szCs w:val="21"/>
          <w:highlight w:val="none"/>
        </w:rPr>
      </w:pPr>
      <w:r>
        <w:rPr>
          <w:rFonts w:hint="eastAsia" w:ascii="宋体" w:hAnsi="宋体"/>
          <w:bCs/>
          <w:szCs w:val="21"/>
          <w:highlight w:val="none"/>
        </w:rPr>
        <w:t>（1）联合体所有成员数量</w:t>
      </w:r>
      <w:r>
        <w:rPr>
          <w:rFonts w:hint="eastAsia" w:ascii="宋体" w:hAnsi="宋体"/>
          <w:bCs/>
          <w:szCs w:val="21"/>
          <w:highlight w:val="none"/>
        </w:rPr>
        <w:t>不得超过</w:t>
      </w:r>
      <w:r>
        <w:rPr>
          <w:rFonts w:hint="eastAsia" w:ascii="黑体" w:hAnsi="黑体" w:eastAsia="黑体"/>
          <w:bCs/>
          <w:szCs w:val="21"/>
          <w:highlight w:val="none"/>
        </w:rPr>
        <w:t>3家</w:t>
      </w:r>
      <w:r>
        <w:rPr>
          <w:rFonts w:hint="eastAsia" w:ascii="宋体" w:hAnsi="宋体"/>
          <w:bCs/>
          <w:szCs w:val="21"/>
          <w:highlight w:val="none"/>
        </w:rPr>
        <w:t>；</w:t>
      </w:r>
    </w:p>
    <w:p w14:paraId="1B8E4ABB">
      <w:pPr>
        <w:adjustRightInd w:val="0"/>
        <w:snapToGrid w:val="0"/>
        <w:spacing w:line="380" w:lineRule="exact"/>
        <w:ind w:firstLine="420" w:firstLineChars="200"/>
        <w:rPr>
          <w:rFonts w:hint="eastAsia" w:ascii="宋体" w:hAnsi="宋体" w:cs="宋体"/>
          <w:bCs/>
          <w:szCs w:val="21"/>
          <w:highlight w:val="none"/>
        </w:rPr>
      </w:pPr>
      <w:r>
        <w:rPr>
          <w:rFonts w:hint="eastAsia" w:ascii="宋体" w:hAnsi="宋体"/>
          <w:bCs/>
          <w:szCs w:val="21"/>
          <w:highlight w:val="none"/>
        </w:rPr>
        <w:t>（2）联合体牵头人应具有交通运输主管部门核发的</w:t>
      </w:r>
      <w:r>
        <w:rPr>
          <w:rFonts w:hint="eastAsia" w:ascii="黑体" w:hAnsi="黑体" w:eastAsia="黑体"/>
          <w:bCs/>
          <w:szCs w:val="21"/>
          <w:highlight w:val="none"/>
        </w:rPr>
        <w:t>路基路面养护甲级</w:t>
      </w:r>
      <w:r>
        <w:rPr>
          <w:rFonts w:hint="eastAsia" w:ascii="宋体" w:hAnsi="宋体"/>
          <w:bCs/>
          <w:szCs w:val="21"/>
          <w:highlight w:val="none"/>
        </w:rPr>
        <w:t>资质，并至少承担路基路面养护施工</w:t>
      </w:r>
      <w:r>
        <w:rPr>
          <w:rFonts w:hint="eastAsia" w:ascii="宋体" w:hAnsi="宋体" w:cs="宋体"/>
          <w:bCs/>
          <w:szCs w:val="21"/>
          <w:highlight w:val="none"/>
        </w:rPr>
        <w:t>；</w:t>
      </w:r>
    </w:p>
    <w:p w14:paraId="3CD5A42D">
      <w:pPr>
        <w:adjustRightInd w:val="0"/>
        <w:snapToGrid w:val="0"/>
        <w:spacing w:line="380" w:lineRule="exact"/>
        <w:ind w:firstLine="420" w:firstLineChars="200"/>
        <w:rPr>
          <w:rFonts w:hint="eastAsia" w:ascii="宋体" w:hAnsi="宋体"/>
          <w:bCs/>
          <w:szCs w:val="21"/>
          <w:highlight w:val="none"/>
        </w:rPr>
      </w:pPr>
      <w:r>
        <w:rPr>
          <w:rFonts w:hint="eastAsia" w:ascii="宋体" w:hAnsi="宋体"/>
          <w:bCs/>
          <w:szCs w:val="21"/>
          <w:highlight w:val="none"/>
        </w:rPr>
        <w:t>（3）符合招标文件对联合体的其他要求。</w:t>
      </w:r>
    </w:p>
    <w:p w14:paraId="529EBA61">
      <w:pPr>
        <w:adjustRightInd w:val="0"/>
        <w:snapToGrid w:val="0"/>
        <w:spacing w:line="380" w:lineRule="exact"/>
        <w:ind w:firstLine="420" w:firstLineChars="200"/>
        <w:rPr>
          <w:rFonts w:hint="eastAsia" w:ascii="宋体" w:hAnsi="宋体"/>
          <w:bCs/>
          <w:szCs w:val="21"/>
          <w:highlight w:val="none"/>
        </w:rPr>
      </w:pPr>
      <w:bookmarkStart w:id="55" w:name="OLE_LINK21"/>
      <w:r>
        <w:rPr>
          <w:rFonts w:hint="eastAsia" w:ascii="黑体" w:hAnsi="黑体" w:eastAsia="黑体"/>
          <w:bCs/>
          <w:szCs w:val="21"/>
          <w:highlight w:val="none"/>
        </w:rPr>
        <w:t>YB26YH08标段：</w:t>
      </w:r>
    </w:p>
    <w:p w14:paraId="2410B79D">
      <w:pPr>
        <w:adjustRightInd w:val="0"/>
        <w:snapToGrid w:val="0"/>
        <w:spacing w:line="380" w:lineRule="exact"/>
        <w:ind w:firstLine="420" w:firstLineChars="200"/>
        <w:rPr>
          <w:rFonts w:hint="eastAsia" w:ascii="宋体" w:hAnsi="宋体"/>
          <w:bCs/>
          <w:szCs w:val="21"/>
          <w:highlight w:val="none"/>
        </w:rPr>
      </w:pPr>
      <w:r>
        <w:rPr>
          <w:rFonts w:hint="eastAsia" w:ascii="宋体" w:hAnsi="宋体"/>
          <w:bCs/>
          <w:szCs w:val="21"/>
          <w:highlight w:val="none"/>
        </w:rPr>
        <w:t>（1）联合体所有成员数量不得超</w:t>
      </w:r>
      <w:r>
        <w:rPr>
          <w:rFonts w:hint="eastAsia" w:ascii="宋体" w:hAnsi="宋体"/>
          <w:bCs/>
          <w:szCs w:val="21"/>
          <w:highlight w:val="none"/>
        </w:rPr>
        <w:t>过</w:t>
      </w:r>
      <w:r>
        <w:rPr>
          <w:rFonts w:hint="eastAsia" w:ascii="黑体" w:hAnsi="黑体" w:eastAsia="黑体"/>
          <w:bCs/>
          <w:szCs w:val="21"/>
          <w:highlight w:val="none"/>
        </w:rPr>
        <w:t>2家</w:t>
      </w:r>
      <w:r>
        <w:rPr>
          <w:rFonts w:hint="eastAsia" w:ascii="宋体" w:hAnsi="宋体"/>
          <w:bCs/>
          <w:szCs w:val="21"/>
          <w:highlight w:val="none"/>
        </w:rPr>
        <w:t>；</w:t>
      </w:r>
    </w:p>
    <w:p w14:paraId="3060DA87">
      <w:pPr>
        <w:adjustRightInd w:val="0"/>
        <w:snapToGrid w:val="0"/>
        <w:spacing w:line="380" w:lineRule="exact"/>
        <w:ind w:firstLine="420" w:firstLineChars="200"/>
        <w:rPr>
          <w:rFonts w:hint="eastAsia" w:ascii="宋体" w:hAnsi="宋体" w:cs="宋体"/>
          <w:bCs/>
          <w:szCs w:val="21"/>
          <w:highlight w:val="none"/>
        </w:rPr>
      </w:pPr>
      <w:r>
        <w:rPr>
          <w:rFonts w:hint="eastAsia" w:ascii="宋体" w:hAnsi="宋体"/>
          <w:bCs/>
          <w:szCs w:val="21"/>
          <w:highlight w:val="none"/>
        </w:rPr>
        <w:t>（2）联合体牵头人应具有交通运输主管部门核发的</w:t>
      </w:r>
      <w:r>
        <w:rPr>
          <w:rFonts w:hint="eastAsia" w:ascii="黑体" w:hAnsi="黑体" w:eastAsia="黑体"/>
          <w:bCs/>
          <w:szCs w:val="21"/>
          <w:highlight w:val="none"/>
        </w:rPr>
        <w:t>路基路面养护乙级</w:t>
      </w:r>
      <w:r>
        <w:rPr>
          <w:rFonts w:hint="eastAsia" w:ascii="宋体" w:hAnsi="宋体"/>
          <w:bCs/>
          <w:szCs w:val="21"/>
          <w:highlight w:val="none"/>
        </w:rPr>
        <w:t>（或甲级）资质，并至少承担路基路面养护施工</w:t>
      </w:r>
      <w:r>
        <w:rPr>
          <w:rFonts w:hint="eastAsia" w:ascii="宋体" w:hAnsi="宋体" w:cs="宋体"/>
          <w:bCs/>
          <w:szCs w:val="21"/>
          <w:highlight w:val="none"/>
        </w:rPr>
        <w:t>；</w:t>
      </w:r>
    </w:p>
    <w:bookmarkEnd w:id="55"/>
    <w:p w14:paraId="0EAC3461">
      <w:pPr>
        <w:adjustRightInd w:val="0"/>
        <w:snapToGrid w:val="0"/>
        <w:spacing w:line="380" w:lineRule="exact"/>
        <w:ind w:firstLine="420" w:firstLineChars="200"/>
        <w:rPr>
          <w:rFonts w:hint="eastAsia" w:ascii="宋体" w:hAnsi="宋体"/>
          <w:bCs/>
          <w:szCs w:val="21"/>
          <w:highlight w:val="none"/>
        </w:rPr>
      </w:pPr>
      <w:r>
        <w:rPr>
          <w:rFonts w:hint="eastAsia" w:ascii="宋体" w:hAnsi="宋体"/>
          <w:bCs/>
          <w:szCs w:val="21"/>
          <w:highlight w:val="none"/>
        </w:rPr>
        <w:t>（3）符合招标文件对联合体的其他要求。</w:t>
      </w:r>
    </w:p>
    <w:p w14:paraId="3BCB082B">
      <w:pPr>
        <w:adjustRightInd w:val="0"/>
        <w:snapToGrid w:val="0"/>
        <w:spacing w:line="380" w:lineRule="exact"/>
        <w:ind w:firstLine="420" w:firstLineChars="200"/>
        <w:rPr>
          <w:rFonts w:hint="eastAsia" w:ascii="宋体" w:hAnsi="宋体"/>
          <w:bCs/>
          <w:szCs w:val="21"/>
          <w:highlight w:val="none"/>
        </w:rPr>
      </w:pPr>
      <w:bookmarkStart w:id="56" w:name="_Hlk187310090"/>
      <w:r>
        <w:rPr>
          <w:rFonts w:hint="eastAsia" w:ascii="宋体" w:hAnsi="宋体"/>
          <w:bCs/>
          <w:szCs w:val="21"/>
          <w:highlight w:val="none"/>
        </w:rPr>
        <w:t>3.</w:t>
      </w:r>
      <w:bookmarkStart w:id="57" w:name="_Hlk187329387"/>
      <w:r>
        <w:rPr>
          <w:rFonts w:hint="eastAsia" w:ascii="宋体" w:hAnsi="宋体"/>
          <w:bCs/>
          <w:szCs w:val="21"/>
          <w:highlight w:val="none"/>
        </w:rPr>
        <w:t>4</w:t>
      </w:r>
      <w:r>
        <w:rPr>
          <w:rFonts w:hint="eastAsia" w:ascii="宋体" w:hAnsi="宋体"/>
          <w:bCs/>
          <w:szCs w:val="21"/>
          <w:highlight w:val="none"/>
        </w:rPr>
        <w:t>每个投标人（包括联合体各成员）</w:t>
      </w:r>
      <w:r>
        <w:rPr>
          <w:rFonts w:hint="eastAsia" w:ascii="黑体" w:hAnsi="黑体" w:eastAsia="黑体"/>
          <w:bCs/>
          <w:szCs w:val="21"/>
          <w:highlight w:val="none"/>
        </w:rPr>
        <w:t>最多可对本次招标6个标段中的1个标段进行投标</w:t>
      </w:r>
      <w:bookmarkEnd w:id="56"/>
      <w:bookmarkEnd w:id="57"/>
      <w:r>
        <w:rPr>
          <w:rFonts w:hint="eastAsia" w:ascii="宋体" w:hAnsi="宋体"/>
          <w:bCs/>
          <w:szCs w:val="21"/>
          <w:highlight w:val="none"/>
        </w:rPr>
        <w:t>。</w:t>
      </w:r>
    </w:p>
    <w:bookmarkEnd w:id="51"/>
    <w:bookmarkEnd w:id="53"/>
    <w:p w14:paraId="451535FA">
      <w:pPr>
        <w:adjustRightInd w:val="0"/>
        <w:snapToGrid w:val="0"/>
        <w:spacing w:line="380" w:lineRule="exact"/>
        <w:ind w:firstLine="420" w:firstLineChars="200"/>
        <w:rPr>
          <w:rFonts w:hint="eastAsia" w:ascii="宋体" w:hAnsi="宋体"/>
          <w:bCs/>
          <w:szCs w:val="21"/>
          <w:highlight w:val="none"/>
        </w:rPr>
      </w:pPr>
      <w:r>
        <w:rPr>
          <w:rFonts w:hint="eastAsia" w:ascii="宋体" w:hAnsi="宋体"/>
          <w:bCs/>
          <w:szCs w:val="21"/>
          <w:highlight w:val="none"/>
        </w:rPr>
        <w:t>3</w:t>
      </w:r>
      <w:r>
        <w:rPr>
          <w:rFonts w:ascii="宋体" w:hAnsi="宋体"/>
          <w:bCs/>
          <w:szCs w:val="21"/>
          <w:highlight w:val="none"/>
        </w:rPr>
        <w:t>.</w:t>
      </w:r>
      <w:r>
        <w:rPr>
          <w:rFonts w:hint="eastAsia" w:ascii="宋体" w:hAnsi="宋体"/>
          <w:bCs/>
          <w:szCs w:val="21"/>
          <w:highlight w:val="none"/>
        </w:rPr>
        <w:t>5与招标人存在利害关系可能影响招标公正性的单位，不得参加投标。单位负责人为同一人或存在控股、管理关系的不同单位，不得同时参加同一标段投标，否则，相关投标均无效。</w:t>
      </w:r>
    </w:p>
    <w:p w14:paraId="59C4848C">
      <w:pPr>
        <w:adjustRightInd w:val="0"/>
        <w:snapToGrid w:val="0"/>
        <w:spacing w:line="380" w:lineRule="exact"/>
        <w:ind w:firstLine="420" w:firstLineChars="200"/>
        <w:rPr>
          <w:rFonts w:hint="eastAsia" w:ascii="宋体" w:hAnsi="宋体"/>
          <w:bCs/>
          <w:szCs w:val="21"/>
          <w:highlight w:val="none"/>
        </w:rPr>
      </w:pPr>
      <w:r>
        <w:rPr>
          <w:rFonts w:hint="eastAsia" w:ascii="宋体" w:hAnsi="宋体"/>
          <w:bCs/>
          <w:szCs w:val="21"/>
          <w:highlight w:val="none"/>
        </w:rPr>
        <w:t>3.6在“信用中国”网站（https://www.creditchina.gov.cn/）中被列入失信被执行人名单的投标人，不得参加投标。</w:t>
      </w:r>
    </w:p>
    <w:bookmarkEnd w:id="48"/>
    <w:bookmarkEnd w:id="49"/>
    <w:bookmarkEnd w:id="50"/>
    <w:p w14:paraId="3CD1E45D">
      <w:pPr>
        <w:adjustRightInd w:val="0"/>
        <w:snapToGrid w:val="0"/>
        <w:spacing w:before="120" w:beforeLines="50" w:after="120" w:afterLines="50" w:line="380" w:lineRule="exact"/>
        <w:rPr>
          <w:rFonts w:hint="eastAsia" w:ascii="黑体" w:hAnsi="黑体" w:eastAsia="黑体"/>
          <w:bCs/>
          <w:sz w:val="24"/>
          <w:szCs w:val="24"/>
          <w:highlight w:val="none"/>
        </w:rPr>
      </w:pPr>
      <w:r>
        <w:rPr>
          <w:rFonts w:hint="eastAsia" w:ascii="黑体" w:hAnsi="黑体" w:eastAsia="黑体"/>
          <w:bCs/>
          <w:sz w:val="24"/>
          <w:szCs w:val="24"/>
          <w:highlight w:val="none"/>
        </w:rPr>
        <w:t>4．评标办法及相关事宜</w:t>
      </w:r>
    </w:p>
    <w:p w14:paraId="5B3299E0">
      <w:pPr>
        <w:adjustRightInd w:val="0"/>
        <w:snapToGrid w:val="0"/>
        <w:spacing w:line="380" w:lineRule="exact"/>
        <w:ind w:firstLine="420" w:firstLineChars="200"/>
        <w:rPr>
          <w:rFonts w:hint="eastAsia" w:ascii="宋体" w:hAnsi="宋体"/>
          <w:bCs/>
          <w:szCs w:val="21"/>
          <w:highlight w:val="none"/>
        </w:rPr>
      </w:pPr>
      <w:r>
        <w:rPr>
          <w:rFonts w:hint="eastAsia" w:ascii="宋体" w:hAnsi="宋体"/>
          <w:bCs/>
          <w:szCs w:val="21"/>
          <w:highlight w:val="none"/>
        </w:rPr>
        <w:t>评标办法采用</w:t>
      </w:r>
      <w:r>
        <w:rPr>
          <w:rFonts w:hint="eastAsia" w:ascii="黑体" w:hAnsi="黑体" w:eastAsia="黑体"/>
          <w:bCs/>
          <w:szCs w:val="21"/>
          <w:highlight w:val="none"/>
        </w:rPr>
        <w:t>双信封形式的技术评分最低标价法</w:t>
      </w:r>
      <w:r>
        <w:rPr>
          <w:rFonts w:hint="eastAsia" w:ascii="宋体" w:hAnsi="宋体"/>
          <w:bCs/>
          <w:szCs w:val="21"/>
          <w:highlight w:val="none"/>
        </w:rPr>
        <w:t>。</w:t>
      </w:r>
    </w:p>
    <w:p w14:paraId="22A550B4">
      <w:pPr>
        <w:adjustRightInd w:val="0"/>
        <w:snapToGrid w:val="0"/>
        <w:spacing w:before="120" w:beforeLines="50" w:after="120" w:afterLines="50" w:line="380" w:lineRule="exact"/>
        <w:rPr>
          <w:rFonts w:hint="eastAsia" w:ascii="黑体" w:hAnsi="黑体" w:eastAsia="黑体"/>
          <w:bCs/>
          <w:sz w:val="24"/>
          <w:szCs w:val="24"/>
          <w:highlight w:val="none"/>
        </w:rPr>
      </w:pPr>
      <w:r>
        <w:rPr>
          <w:rFonts w:hint="eastAsia" w:ascii="黑体" w:hAnsi="黑体" w:eastAsia="黑体"/>
          <w:bCs/>
          <w:sz w:val="24"/>
          <w:szCs w:val="24"/>
          <w:highlight w:val="none"/>
        </w:rPr>
        <w:t>5.</w:t>
      </w:r>
      <w:bookmarkEnd w:id="17"/>
      <w:r>
        <w:rPr>
          <w:rFonts w:hint="eastAsia" w:ascii="黑体" w:hAnsi="黑体" w:eastAsia="黑体"/>
          <w:bCs/>
          <w:sz w:val="24"/>
          <w:szCs w:val="24"/>
          <w:highlight w:val="none"/>
        </w:rPr>
        <w:t>电子化招投标</w:t>
      </w:r>
    </w:p>
    <w:p w14:paraId="62DD7061">
      <w:pPr>
        <w:widowControl/>
        <w:shd w:val="clear" w:color="auto" w:fill="FFFFFF"/>
        <w:adjustRightInd w:val="0"/>
        <w:spacing w:line="380" w:lineRule="exact"/>
        <w:ind w:firstLine="420" w:firstLineChars="200"/>
        <w:jc w:val="left"/>
        <w:rPr>
          <w:rFonts w:hint="eastAsia" w:ascii="宋体" w:hAnsi="宋体" w:cs="宋体"/>
          <w:bCs/>
          <w:color w:val="363D45"/>
          <w:szCs w:val="21"/>
          <w:highlight w:val="none"/>
        </w:rPr>
      </w:pPr>
      <w:bookmarkStart w:id="58" w:name="OLE_LINK31"/>
      <w:r>
        <w:rPr>
          <w:rFonts w:hint="eastAsia" w:ascii="宋体" w:hAnsi="宋体" w:cs="宋体"/>
          <w:bCs/>
          <w:color w:val="363D45"/>
          <w:szCs w:val="21"/>
          <w:highlight w:val="none"/>
        </w:rPr>
        <w:t>本次招标</w:t>
      </w:r>
      <w:bookmarkEnd w:id="58"/>
      <w:r>
        <w:rPr>
          <w:rFonts w:hint="eastAsia" w:ascii="宋体" w:hAnsi="宋体" w:cs="宋体"/>
          <w:bCs/>
          <w:color w:val="363D45"/>
          <w:szCs w:val="21"/>
          <w:highlight w:val="none"/>
        </w:rPr>
        <w:t>全程实行电子化招投标。</w:t>
      </w:r>
      <w:bookmarkEnd w:id="18"/>
      <w:bookmarkStart w:id="59" w:name="_Toc184704557"/>
    </w:p>
    <w:p w14:paraId="3FE24FC8">
      <w:pPr>
        <w:adjustRightInd w:val="0"/>
        <w:snapToGrid w:val="0"/>
        <w:spacing w:before="120" w:beforeLines="50" w:after="120" w:afterLines="50" w:line="380" w:lineRule="exact"/>
        <w:rPr>
          <w:rFonts w:hint="eastAsia" w:ascii="黑体" w:hAnsi="黑体" w:eastAsia="黑体"/>
          <w:bCs/>
          <w:sz w:val="24"/>
          <w:szCs w:val="24"/>
          <w:highlight w:val="none"/>
        </w:rPr>
      </w:pPr>
      <w:r>
        <w:rPr>
          <w:rFonts w:hint="eastAsia" w:ascii="黑体" w:hAnsi="黑体" w:eastAsia="黑体"/>
          <w:bCs/>
          <w:sz w:val="24"/>
          <w:szCs w:val="24"/>
          <w:highlight w:val="none"/>
        </w:rPr>
        <w:t>6．招标文件的获取</w:t>
      </w:r>
      <w:bookmarkEnd w:id="59"/>
    </w:p>
    <w:p w14:paraId="681B8FFC">
      <w:pPr>
        <w:adjustRightInd w:val="0"/>
        <w:snapToGrid w:val="0"/>
        <w:spacing w:line="380" w:lineRule="exact"/>
        <w:ind w:firstLine="420" w:firstLineChars="200"/>
        <w:rPr>
          <w:rFonts w:hint="eastAsia" w:ascii="宋体" w:hAnsi="宋体"/>
          <w:bCs/>
          <w:szCs w:val="21"/>
          <w:highlight w:val="none"/>
        </w:rPr>
      </w:pPr>
      <w:bookmarkStart w:id="60" w:name="_Hlk170804693"/>
      <w:bookmarkStart w:id="61" w:name="_Hlk170804672"/>
      <w:r>
        <w:rPr>
          <w:rFonts w:hint="eastAsia" w:ascii="宋体" w:hAnsi="宋体"/>
          <w:bCs/>
          <w:szCs w:val="21"/>
          <w:highlight w:val="none"/>
        </w:rPr>
        <w:t>凡有意参加投标者，请于</w:t>
      </w:r>
      <w:r>
        <w:rPr>
          <w:rFonts w:hint="eastAsia" w:ascii="黑体" w:hAnsi="黑体" w:eastAsia="黑体"/>
          <w:bCs/>
          <w:szCs w:val="21"/>
          <w:highlight w:val="none"/>
          <w:u w:val="single"/>
        </w:rPr>
        <w:t>20</w:t>
      </w:r>
      <w:r>
        <w:rPr>
          <w:rFonts w:ascii="黑体" w:hAnsi="黑体" w:eastAsia="黑体"/>
          <w:bCs/>
          <w:szCs w:val="21"/>
          <w:highlight w:val="none"/>
          <w:u w:val="single"/>
        </w:rPr>
        <w:t>2</w:t>
      </w:r>
      <w:r>
        <w:rPr>
          <w:rFonts w:hint="eastAsia" w:ascii="黑体" w:hAnsi="黑体" w:eastAsia="黑体"/>
          <w:bCs/>
          <w:szCs w:val="21"/>
          <w:highlight w:val="none"/>
          <w:u w:val="single"/>
        </w:rPr>
        <w:t>6年6月2日至20</w:t>
      </w:r>
      <w:r>
        <w:rPr>
          <w:rFonts w:ascii="黑体" w:hAnsi="黑体" w:eastAsia="黑体"/>
          <w:bCs/>
          <w:szCs w:val="21"/>
          <w:highlight w:val="none"/>
          <w:u w:val="single"/>
        </w:rPr>
        <w:t>2</w:t>
      </w:r>
      <w:r>
        <w:rPr>
          <w:rFonts w:hint="eastAsia" w:ascii="黑体" w:hAnsi="黑体" w:eastAsia="黑体"/>
          <w:bCs/>
          <w:szCs w:val="21"/>
          <w:highlight w:val="none"/>
          <w:u w:val="single"/>
        </w:rPr>
        <w:t>6年6月8日</w:t>
      </w:r>
      <w:r>
        <w:rPr>
          <w:rFonts w:hint="eastAsia" w:ascii="宋体" w:hAnsi="宋体"/>
          <w:bCs/>
          <w:szCs w:val="21"/>
          <w:highlight w:val="none"/>
        </w:rPr>
        <w:t>，登录吉林省公共资源交易一体化平台（https://www.ggzyyth.jl.cn/TPBidder）免费下载招标文件。</w:t>
      </w:r>
      <w:bookmarkEnd w:id="60"/>
    </w:p>
    <w:bookmarkEnd w:id="61"/>
    <w:p w14:paraId="48420948">
      <w:pPr>
        <w:adjustRightInd w:val="0"/>
        <w:snapToGrid w:val="0"/>
        <w:spacing w:before="120" w:beforeLines="50" w:after="120" w:afterLines="50" w:line="380" w:lineRule="exact"/>
        <w:rPr>
          <w:rFonts w:hint="eastAsia" w:ascii="黑体" w:hAnsi="黑体" w:eastAsia="黑体"/>
          <w:bCs/>
          <w:sz w:val="24"/>
          <w:szCs w:val="24"/>
          <w:highlight w:val="none"/>
        </w:rPr>
      </w:pPr>
      <w:bookmarkStart w:id="62" w:name="_Toc184704558"/>
      <w:r>
        <w:rPr>
          <w:rFonts w:hint="eastAsia" w:ascii="黑体" w:hAnsi="黑体" w:eastAsia="黑体"/>
          <w:bCs/>
          <w:sz w:val="24"/>
          <w:szCs w:val="24"/>
          <w:highlight w:val="none"/>
        </w:rPr>
        <w:t>7．</w:t>
      </w:r>
      <w:bookmarkEnd w:id="62"/>
      <w:r>
        <w:rPr>
          <w:rFonts w:hint="eastAsia" w:ascii="黑体" w:hAnsi="黑体" w:eastAsia="黑体"/>
          <w:bCs/>
          <w:sz w:val="24"/>
          <w:szCs w:val="24"/>
          <w:highlight w:val="none"/>
        </w:rPr>
        <w:t>投标文件的递交及相关事宜</w:t>
      </w:r>
    </w:p>
    <w:p w14:paraId="286AEB78">
      <w:pPr>
        <w:adjustRightInd w:val="0"/>
        <w:snapToGrid w:val="0"/>
        <w:spacing w:line="380" w:lineRule="exact"/>
        <w:ind w:firstLine="420" w:firstLineChars="200"/>
        <w:rPr>
          <w:rFonts w:hint="eastAsia" w:ascii="宋体" w:hAnsi="宋体"/>
          <w:bCs/>
          <w:szCs w:val="21"/>
          <w:highlight w:val="none"/>
        </w:rPr>
      </w:pPr>
      <w:bookmarkStart w:id="63" w:name="_Hlk186359074"/>
      <w:r>
        <w:rPr>
          <w:rFonts w:hint="eastAsia" w:ascii="宋体" w:hAnsi="宋体"/>
          <w:bCs/>
          <w:szCs w:val="21"/>
          <w:highlight w:val="none"/>
        </w:rPr>
        <w:t>7.1招标人不组织工程现场踏勘和投标预备会。</w:t>
      </w:r>
    </w:p>
    <w:p w14:paraId="28D82C0B">
      <w:pPr>
        <w:adjustRightInd w:val="0"/>
        <w:snapToGrid w:val="0"/>
        <w:spacing w:line="380" w:lineRule="exact"/>
        <w:ind w:firstLine="420" w:firstLineChars="200"/>
        <w:rPr>
          <w:rFonts w:hint="eastAsia" w:ascii="宋体" w:hAnsi="宋体"/>
          <w:bCs/>
          <w:szCs w:val="21"/>
          <w:highlight w:val="none"/>
        </w:rPr>
      </w:pPr>
      <w:r>
        <w:rPr>
          <w:rFonts w:hint="eastAsia" w:ascii="宋体" w:hAnsi="宋体"/>
          <w:bCs/>
          <w:szCs w:val="21"/>
          <w:highlight w:val="none"/>
        </w:rPr>
        <w:t>7.2投标文件递交的截止时间（投标截止时间，下同）：</w:t>
      </w:r>
      <w:r>
        <w:rPr>
          <w:rFonts w:hint="eastAsia" w:ascii="黑体" w:hAnsi="黑体" w:eastAsia="黑体"/>
          <w:bCs/>
          <w:szCs w:val="21"/>
          <w:highlight w:val="none"/>
        </w:rPr>
        <w:t>YB26YH03标段、YB26YH04标段为</w:t>
      </w:r>
      <w:r>
        <w:rPr>
          <w:rFonts w:hint="eastAsia" w:ascii="黑体" w:hAnsi="黑体" w:eastAsia="黑体"/>
          <w:bCs/>
          <w:szCs w:val="21"/>
          <w:highlight w:val="none"/>
          <w:u w:val="single"/>
        </w:rPr>
        <w:t>20</w:t>
      </w:r>
      <w:r>
        <w:rPr>
          <w:rFonts w:ascii="黑体" w:hAnsi="黑体" w:eastAsia="黑体"/>
          <w:bCs/>
          <w:szCs w:val="21"/>
          <w:highlight w:val="none"/>
          <w:u w:val="single"/>
        </w:rPr>
        <w:t>2</w:t>
      </w:r>
      <w:r>
        <w:rPr>
          <w:rFonts w:hint="eastAsia" w:ascii="黑体" w:hAnsi="黑体" w:eastAsia="黑体"/>
          <w:bCs/>
          <w:szCs w:val="21"/>
          <w:highlight w:val="none"/>
          <w:u w:val="single"/>
        </w:rPr>
        <w:t>6年6月23日9时00分</w:t>
      </w:r>
      <w:r>
        <w:rPr>
          <w:rFonts w:hint="eastAsia" w:ascii="宋体" w:hAnsi="宋体"/>
          <w:bCs/>
          <w:szCs w:val="21"/>
          <w:highlight w:val="none"/>
        </w:rPr>
        <w:t>；</w:t>
      </w:r>
      <w:r>
        <w:rPr>
          <w:rFonts w:hint="eastAsia" w:ascii="黑体" w:hAnsi="黑体" w:eastAsia="黑体"/>
          <w:bCs/>
          <w:szCs w:val="21"/>
          <w:highlight w:val="none"/>
        </w:rPr>
        <w:t>YB26YH05标段、YB26YH06标段为</w:t>
      </w:r>
      <w:r>
        <w:rPr>
          <w:rFonts w:hint="eastAsia" w:ascii="黑体" w:hAnsi="黑体" w:eastAsia="黑体"/>
          <w:bCs/>
          <w:szCs w:val="21"/>
          <w:highlight w:val="none"/>
          <w:u w:val="single"/>
        </w:rPr>
        <w:t>20</w:t>
      </w:r>
      <w:r>
        <w:rPr>
          <w:rFonts w:ascii="黑体" w:hAnsi="黑体" w:eastAsia="黑体"/>
          <w:bCs/>
          <w:szCs w:val="21"/>
          <w:highlight w:val="none"/>
          <w:u w:val="single"/>
        </w:rPr>
        <w:t>2</w:t>
      </w:r>
      <w:r>
        <w:rPr>
          <w:rFonts w:hint="eastAsia" w:ascii="黑体" w:hAnsi="黑体" w:eastAsia="黑体"/>
          <w:bCs/>
          <w:szCs w:val="21"/>
          <w:highlight w:val="none"/>
          <w:u w:val="single"/>
        </w:rPr>
        <w:t>6年6月24日9时00分</w:t>
      </w:r>
      <w:r>
        <w:rPr>
          <w:rFonts w:hint="eastAsia" w:ascii="黑体" w:hAnsi="黑体" w:eastAsia="黑体"/>
          <w:bCs/>
          <w:szCs w:val="21"/>
          <w:highlight w:val="none"/>
        </w:rPr>
        <w:t>；</w:t>
      </w:r>
      <w:r>
        <w:rPr>
          <w:rFonts w:hint="eastAsia" w:ascii="黑体" w:hAnsi="黑体" w:eastAsia="黑体"/>
          <w:bCs/>
          <w:szCs w:val="21"/>
          <w:highlight w:val="none"/>
        </w:rPr>
        <w:t>YB26YH07标段、YB26YH08标段为</w:t>
      </w:r>
      <w:r>
        <w:rPr>
          <w:rFonts w:hint="eastAsia" w:ascii="黑体" w:hAnsi="黑体" w:eastAsia="黑体"/>
          <w:bCs/>
          <w:szCs w:val="21"/>
          <w:highlight w:val="none"/>
          <w:u w:val="single"/>
        </w:rPr>
        <w:t>20</w:t>
      </w:r>
      <w:r>
        <w:rPr>
          <w:rFonts w:ascii="黑体" w:hAnsi="黑体" w:eastAsia="黑体"/>
          <w:bCs/>
          <w:szCs w:val="21"/>
          <w:highlight w:val="none"/>
          <w:u w:val="single"/>
        </w:rPr>
        <w:t>2</w:t>
      </w:r>
      <w:r>
        <w:rPr>
          <w:rFonts w:hint="eastAsia" w:ascii="黑体" w:hAnsi="黑体" w:eastAsia="黑体"/>
          <w:bCs/>
          <w:szCs w:val="21"/>
          <w:highlight w:val="none"/>
          <w:u w:val="single"/>
        </w:rPr>
        <w:t>6年6月25日9时00分</w:t>
      </w:r>
      <w:r>
        <w:rPr>
          <w:rFonts w:hint="eastAsia" w:ascii="黑体" w:hAnsi="黑体" w:eastAsia="黑体"/>
          <w:bCs/>
          <w:szCs w:val="21"/>
          <w:highlight w:val="none"/>
        </w:rPr>
        <w:t>。</w:t>
      </w:r>
      <w:r>
        <w:rPr>
          <w:rFonts w:hint="eastAsia" w:ascii="宋体" w:hAnsi="宋体"/>
          <w:bCs/>
          <w:szCs w:val="21"/>
          <w:highlight w:val="none"/>
        </w:rPr>
        <w:t>投标人应在投标截止时间前将加密的电子投标文件上传至“吉林省公共资源交易一体化平台”。逾期上传的电子投标文件，电子招标投标交易平台将予以拒收。</w:t>
      </w:r>
    </w:p>
    <w:p w14:paraId="081E667C">
      <w:pPr>
        <w:adjustRightInd w:val="0"/>
        <w:snapToGrid w:val="0"/>
        <w:spacing w:line="380" w:lineRule="exact"/>
        <w:ind w:firstLine="420" w:firstLineChars="200"/>
        <w:rPr>
          <w:rFonts w:hint="eastAsia" w:ascii="宋体" w:hAnsi="宋体"/>
          <w:bCs/>
          <w:szCs w:val="21"/>
          <w:highlight w:val="none"/>
        </w:rPr>
      </w:pPr>
      <w:r>
        <w:rPr>
          <w:rFonts w:hint="eastAsia" w:ascii="宋体" w:hAnsi="宋体"/>
          <w:bCs/>
          <w:szCs w:val="21"/>
          <w:highlight w:val="none"/>
        </w:rPr>
        <w:t>7.3投标文件第一个信封（商务及技术文件）开标时间：同投标截止时间，开标地点：吉林省公共资源交易中心四楼开标区；</w:t>
      </w:r>
      <w:r>
        <w:rPr>
          <w:rFonts w:ascii="黑体" w:hAnsi="黑体" w:eastAsia="黑体"/>
          <w:bCs/>
          <w:szCs w:val="21"/>
          <w:highlight w:val="none"/>
        </w:rPr>
        <w:t>投标文件第二个信封（</w:t>
      </w:r>
      <w:r>
        <w:rPr>
          <w:rFonts w:hint="eastAsia" w:ascii="黑体" w:hAnsi="黑体" w:eastAsia="黑体"/>
          <w:bCs/>
          <w:szCs w:val="21"/>
          <w:highlight w:val="none"/>
        </w:rPr>
        <w:t>报价文件</w:t>
      </w:r>
      <w:r>
        <w:rPr>
          <w:rFonts w:ascii="黑体" w:hAnsi="黑体" w:eastAsia="黑体"/>
          <w:bCs/>
          <w:szCs w:val="21"/>
          <w:highlight w:val="none"/>
        </w:rPr>
        <w:t>）开标时间：</w:t>
      </w:r>
      <w:bookmarkStart w:id="64" w:name="_Hlk199142016"/>
      <w:r>
        <w:rPr>
          <w:rFonts w:hint="eastAsia" w:ascii="黑体" w:hAnsi="黑体" w:eastAsia="黑体"/>
          <w:bCs/>
          <w:szCs w:val="21"/>
          <w:highlight w:val="none"/>
        </w:rPr>
        <w:t>YB26YH03标段、YB26YH04标段</w:t>
      </w:r>
      <w:r>
        <w:rPr>
          <w:rFonts w:hint="eastAsia" w:ascii="黑体" w:hAnsi="黑体" w:eastAsia="黑体"/>
          <w:bCs/>
          <w:szCs w:val="21"/>
          <w:highlight w:val="none"/>
        </w:rPr>
        <w:t>为</w:t>
      </w:r>
      <w:r>
        <w:rPr>
          <w:rFonts w:hint="eastAsia" w:ascii="黑体" w:hAnsi="黑体" w:eastAsia="黑体"/>
          <w:bCs/>
          <w:szCs w:val="21"/>
          <w:highlight w:val="none"/>
          <w:u w:val="single"/>
        </w:rPr>
        <w:t>20</w:t>
      </w:r>
      <w:r>
        <w:rPr>
          <w:rFonts w:ascii="黑体" w:hAnsi="黑体" w:eastAsia="黑体"/>
          <w:bCs/>
          <w:szCs w:val="21"/>
          <w:highlight w:val="none"/>
          <w:u w:val="single"/>
        </w:rPr>
        <w:t>2</w:t>
      </w:r>
      <w:r>
        <w:rPr>
          <w:rFonts w:hint="eastAsia" w:ascii="黑体" w:hAnsi="黑体" w:eastAsia="黑体"/>
          <w:bCs/>
          <w:szCs w:val="21"/>
          <w:highlight w:val="none"/>
          <w:u w:val="single"/>
        </w:rPr>
        <w:t>6年6月23日</w:t>
      </w:r>
      <w:r>
        <w:rPr>
          <w:rFonts w:ascii="黑体" w:hAnsi="黑体" w:eastAsia="黑体"/>
          <w:bCs/>
          <w:szCs w:val="21"/>
          <w:highlight w:val="none"/>
          <w:u w:val="single"/>
        </w:rPr>
        <w:t>1</w:t>
      </w:r>
      <w:r>
        <w:rPr>
          <w:rFonts w:hint="eastAsia" w:ascii="黑体" w:hAnsi="黑体" w:eastAsia="黑体"/>
          <w:bCs/>
          <w:szCs w:val="21"/>
          <w:highlight w:val="none"/>
          <w:u w:val="single"/>
        </w:rPr>
        <w:t>2时30分</w:t>
      </w:r>
      <w:bookmarkEnd w:id="64"/>
      <w:r>
        <w:rPr>
          <w:rFonts w:hint="eastAsia" w:ascii="宋体" w:hAnsi="宋体"/>
          <w:bCs/>
          <w:szCs w:val="21"/>
          <w:highlight w:val="none"/>
        </w:rPr>
        <w:t>；</w:t>
      </w:r>
      <w:r>
        <w:rPr>
          <w:rFonts w:hint="eastAsia" w:ascii="黑体" w:hAnsi="黑体" w:eastAsia="黑体"/>
          <w:bCs/>
          <w:szCs w:val="21"/>
          <w:highlight w:val="none"/>
        </w:rPr>
        <w:t>YB26YH05标段、YB26YH06标段为</w:t>
      </w:r>
      <w:r>
        <w:rPr>
          <w:rFonts w:hint="eastAsia" w:ascii="黑体" w:hAnsi="黑体" w:eastAsia="黑体"/>
          <w:bCs/>
          <w:szCs w:val="21"/>
          <w:highlight w:val="none"/>
          <w:u w:val="single"/>
        </w:rPr>
        <w:t>20</w:t>
      </w:r>
      <w:r>
        <w:rPr>
          <w:rFonts w:ascii="黑体" w:hAnsi="黑体" w:eastAsia="黑体"/>
          <w:bCs/>
          <w:szCs w:val="21"/>
          <w:highlight w:val="none"/>
          <w:u w:val="single"/>
        </w:rPr>
        <w:t>2</w:t>
      </w:r>
      <w:r>
        <w:rPr>
          <w:rFonts w:hint="eastAsia" w:ascii="黑体" w:hAnsi="黑体" w:eastAsia="黑体"/>
          <w:bCs/>
          <w:szCs w:val="21"/>
          <w:highlight w:val="none"/>
          <w:u w:val="single"/>
        </w:rPr>
        <w:t>6年6月24日</w:t>
      </w:r>
      <w:r>
        <w:rPr>
          <w:rFonts w:ascii="黑体" w:hAnsi="黑体" w:eastAsia="黑体"/>
          <w:bCs/>
          <w:szCs w:val="21"/>
          <w:highlight w:val="none"/>
          <w:u w:val="single"/>
        </w:rPr>
        <w:t>1</w:t>
      </w:r>
      <w:r>
        <w:rPr>
          <w:rFonts w:hint="eastAsia" w:ascii="黑体" w:hAnsi="黑体" w:eastAsia="黑体"/>
          <w:bCs/>
          <w:szCs w:val="21"/>
          <w:highlight w:val="none"/>
          <w:u w:val="single"/>
        </w:rPr>
        <w:t>2时30分</w:t>
      </w:r>
      <w:r>
        <w:rPr>
          <w:rFonts w:hint="eastAsia" w:ascii="宋体" w:hAnsi="宋体"/>
          <w:bCs/>
          <w:szCs w:val="21"/>
          <w:highlight w:val="none"/>
        </w:rPr>
        <w:t>；</w:t>
      </w:r>
      <w:r>
        <w:rPr>
          <w:rFonts w:hint="eastAsia" w:ascii="黑体" w:hAnsi="黑体" w:eastAsia="黑体"/>
          <w:bCs/>
          <w:szCs w:val="21"/>
          <w:highlight w:val="none"/>
        </w:rPr>
        <w:t>YB26YH07标段、YB26YH08标段为</w:t>
      </w:r>
      <w:r>
        <w:rPr>
          <w:rFonts w:hint="eastAsia" w:ascii="黑体" w:hAnsi="黑体" w:eastAsia="黑体"/>
          <w:bCs/>
          <w:szCs w:val="21"/>
          <w:highlight w:val="none"/>
          <w:u w:val="single"/>
        </w:rPr>
        <w:t>20</w:t>
      </w:r>
      <w:r>
        <w:rPr>
          <w:rFonts w:ascii="黑体" w:hAnsi="黑体" w:eastAsia="黑体"/>
          <w:bCs/>
          <w:szCs w:val="21"/>
          <w:highlight w:val="none"/>
          <w:u w:val="single"/>
        </w:rPr>
        <w:t>2</w:t>
      </w:r>
      <w:r>
        <w:rPr>
          <w:rFonts w:hint="eastAsia" w:ascii="黑体" w:hAnsi="黑体" w:eastAsia="黑体"/>
          <w:bCs/>
          <w:szCs w:val="21"/>
          <w:highlight w:val="none"/>
          <w:u w:val="single"/>
        </w:rPr>
        <w:t>6年6月25日</w:t>
      </w:r>
      <w:r>
        <w:rPr>
          <w:rFonts w:ascii="黑体" w:hAnsi="黑体" w:eastAsia="黑体"/>
          <w:bCs/>
          <w:szCs w:val="21"/>
          <w:highlight w:val="none"/>
          <w:u w:val="single"/>
        </w:rPr>
        <w:t>1</w:t>
      </w:r>
      <w:r>
        <w:rPr>
          <w:rFonts w:hint="eastAsia" w:ascii="黑体" w:hAnsi="黑体" w:eastAsia="黑体"/>
          <w:bCs/>
          <w:szCs w:val="21"/>
          <w:highlight w:val="none"/>
          <w:u w:val="single"/>
        </w:rPr>
        <w:t>2时30分</w:t>
      </w:r>
      <w:r>
        <w:rPr>
          <w:rFonts w:hint="eastAsia" w:ascii="黑体" w:hAnsi="黑体" w:eastAsia="黑体"/>
          <w:bCs/>
          <w:szCs w:val="21"/>
          <w:highlight w:val="none"/>
        </w:rPr>
        <w:t>。</w:t>
      </w:r>
      <w:r>
        <w:rPr>
          <w:rFonts w:hint="eastAsia" w:ascii="宋体" w:hAnsi="宋体"/>
          <w:bCs/>
          <w:szCs w:val="21"/>
          <w:highlight w:val="none"/>
        </w:rPr>
        <w:t>开标地点：吉林省公共资源交易中心四楼开标区。</w:t>
      </w:r>
    </w:p>
    <w:bookmarkEnd w:id="63"/>
    <w:p w14:paraId="0576E310">
      <w:pPr>
        <w:adjustRightInd w:val="0"/>
        <w:snapToGrid w:val="0"/>
        <w:spacing w:before="120" w:beforeLines="50" w:after="120" w:afterLines="50" w:line="380" w:lineRule="exact"/>
        <w:rPr>
          <w:rFonts w:hint="eastAsia" w:ascii="黑体" w:hAnsi="黑体" w:eastAsia="黑体"/>
          <w:bCs/>
          <w:sz w:val="24"/>
          <w:szCs w:val="24"/>
          <w:highlight w:val="none"/>
        </w:rPr>
      </w:pPr>
      <w:bookmarkStart w:id="65" w:name="_Toc184704559"/>
      <w:r>
        <w:rPr>
          <w:rFonts w:hint="eastAsia" w:ascii="黑体" w:hAnsi="黑体" w:eastAsia="黑体"/>
          <w:bCs/>
          <w:sz w:val="24"/>
          <w:szCs w:val="24"/>
          <w:highlight w:val="none"/>
        </w:rPr>
        <w:t>8．发布公告的媒介</w:t>
      </w:r>
      <w:bookmarkEnd w:id="65"/>
    </w:p>
    <w:bookmarkEnd w:id="0"/>
    <w:p w14:paraId="3CF18CFE">
      <w:pPr>
        <w:adjustRightInd w:val="0"/>
        <w:snapToGrid w:val="0"/>
        <w:spacing w:line="380" w:lineRule="exact"/>
        <w:ind w:firstLine="420" w:firstLineChars="200"/>
        <w:rPr>
          <w:rFonts w:hint="eastAsia" w:ascii="宋体" w:hAnsi="宋体"/>
          <w:bCs/>
          <w:szCs w:val="21"/>
          <w:highlight w:val="none"/>
        </w:rPr>
      </w:pPr>
      <w:bookmarkStart w:id="66" w:name="_Toc184704560"/>
      <w:r>
        <w:rPr>
          <w:rFonts w:hint="eastAsia" w:ascii="宋体" w:hAnsi="宋体"/>
          <w:bCs/>
          <w:szCs w:val="21"/>
          <w:highlight w:val="none"/>
        </w:rPr>
        <w:t>本次招标公告同时在中国招标投标公共服务平台、吉林省公共资源交易中心网（同步推送到吉林省公共资源交易公共服务平台）、吉林省交通运输厅网站上发布。</w:t>
      </w:r>
    </w:p>
    <w:bookmarkEnd w:id="1"/>
    <w:bookmarkEnd w:id="2"/>
    <w:bookmarkEnd w:id="3"/>
    <w:bookmarkEnd w:id="4"/>
    <w:bookmarkEnd w:id="19"/>
    <w:bookmarkEnd w:id="26"/>
    <w:bookmarkEnd w:id="66"/>
    <w:p w14:paraId="2A3F0456">
      <w:pPr>
        <w:adjustRightInd w:val="0"/>
        <w:snapToGrid w:val="0"/>
        <w:spacing w:line="0" w:lineRule="atLeast"/>
        <w:ind w:firstLine="100" w:firstLineChars="100"/>
        <w:jc w:val="left"/>
        <w:rPr>
          <w:rFonts w:ascii="Times New Roman" w:hAnsi="Times New Roman" w:eastAsia="黑体"/>
          <w:bCs/>
          <w:sz w:val="10"/>
          <w:szCs w:val="10"/>
          <w:highlight w:val="none"/>
        </w:rPr>
      </w:pPr>
    </w:p>
    <w:bookmarkEnd w:id="5"/>
    <w:bookmarkEnd w:id="6"/>
    <w:bookmarkEnd w:id="7"/>
    <w:bookmarkEnd w:id="8"/>
    <w:bookmarkEnd w:id="9"/>
    <w:bookmarkEnd w:id="10"/>
    <w:bookmarkEnd w:id="11"/>
    <w:bookmarkEnd w:id="12"/>
    <w:bookmarkEnd w:id="13"/>
    <w:p w14:paraId="6DC6FF45">
      <w:pPr>
        <w:pStyle w:val="4"/>
        <w:adjustRightInd w:val="0"/>
        <w:snapToGrid w:val="0"/>
        <w:spacing w:before="0" w:after="0" w:line="240" w:lineRule="auto"/>
        <w:rPr>
          <w:rFonts w:hint="eastAsia" w:ascii="宋体" w:hAnsi="宋体"/>
          <w:b w:val="0"/>
          <w:highlight w:val="none"/>
        </w:rPr>
      </w:pPr>
      <w:bookmarkStart w:id="67" w:name="_Toc197965597"/>
      <w:bookmarkStart w:id="68" w:name="_Toc197960493"/>
      <w:bookmarkStart w:id="69" w:name="_Toc197967118"/>
      <w:bookmarkStart w:id="70" w:name="_Toc197950803"/>
      <w:bookmarkStart w:id="71" w:name="_Toc197960545"/>
      <w:bookmarkStart w:id="72" w:name="_Toc197950682"/>
      <w:bookmarkStart w:id="73" w:name="_Toc197951588"/>
      <w:bookmarkStart w:id="74" w:name="_Toc197967266"/>
      <w:bookmarkStart w:id="75" w:name="_Toc228263843"/>
      <w:bookmarkStart w:id="76" w:name="_Toc513907883"/>
      <w:bookmarkStart w:id="77" w:name="_Hlk189905285"/>
      <w:r>
        <w:rPr>
          <w:rFonts w:hint="eastAsia" w:ascii="黑体" w:hAnsi="黑体" w:eastAsia="黑体"/>
          <w:b w:val="0"/>
          <w:sz w:val="24"/>
          <w:szCs w:val="24"/>
          <w:highlight w:val="none"/>
          <w:lang w:val="en-US" w:eastAsia="zh-CN"/>
        </w:rPr>
        <w:t>9.</w:t>
      </w:r>
      <w:r>
        <w:rPr>
          <w:rFonts w:ascii="黑体" w:hAnsi="黑体" w:eastAsia="黑体"/>
          <w:b w:val="0"/>
          <w:sz w:val="24"/>
          <w:szCs w:val="24"/>
          <w:highlight w:val="none"/>
        </w:rPr>
        <w:t>投标人须知前附表</w:t>
      </w:r>
      <w:bookmarkEnd w:id="67"/>
      <w:bookmarkEnd w:id="68"/>
      <w:bookmarkEnd w:id="69"/>
      <w:bookmarkEnd w:id="70"/>
      <w:bookmarkEnd w:id="71"/>
      <w:bookmarkEnd w:id="72"/>
      <w:bookmarkEnd w:id="73"/>
      <w:bookmarkEnd w:id="74"/>
      <w:r>
        <w:rPr>
          <w:rStyle w:val="68"/>
          <w:rFonts w:ascii="宋体" w:hAnsi="宋体"/>
          <w:b w:val="0"/>
          <w:sz w:val="30"/>
          <w:szCs w:val="30"/>
          <w:highlight w:val="none"/>
        </w:rPr>
        <w:footnoteReference w:id="0"/>
      </w:r>
      <w:bookmarkEnd w:id="75"/>
      <w:bookmarkEnd w:id="76"/>
    </w:p>
    <w:tbl>
      <w:tblPr>
        <w:tblStyle w:val="57"/>
        <w:tblW w:w="505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961"/>
        <w:gridCol w:w="1591"/>
        <w:gridCol w:w="7254"/>
      </w:tblGrid>
      <w:tr w14:paraId="13D80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blHeader/>
          <w:jc w:val="center"/>
        </w:trPr>
        <w:tc>
          <w:tcPr>
            <w:tcW w:w="490" w:type="pct"/>
            <w:vAlign w:val="center"/>
          </w:tcPr>
          <w:p w14:paraId="063BF939">
            <w:pPr>
              <w:adjustRightInd w:val="0"/>
              <w:snapToGrid w:val="0"/>
              <w:spacing w:line="340" w:lineRule="exact"/>
              <w:jc w:val="center"/>
              <w:rPr>
                <w:rFonts w:hint="eastAsia" w:ascii="宋体" w:hAnsi="宋体"/>
                <w:bCs/>
                <w:szCs w:val="21"/>
                <w:highlight w:val="none"/>
              </w:rPr>
            </w:pPr>
            <w:r>
              <w:rPr>
                <w:rFonts w:ascii="宋体" w:hAnsi="宋体"/>
                <w:bCs/>
                <w:szCs w:val="21"/>
                <w:highlight w:val="none"/>
              </w:rPr>
              <w:t>条款号</w:t>
            </w:r>
          </w:p>
        </w:tc>
        <w:tc>
          <w:tcPr>
            <w:tcW w:w="811" w:type="pct"/>
            <w:vAlign w:val="center"/>
          </w:tcPr>
          <w:p w14:paraId="45D4BCA0">
            <w:pPr>
              <w:adjustRightInd w:val="0"/>
              <w:snapToGrid w:val="0"/>
              <w:spacing w:line="340" w:lineRule="exact"/>
              <w:jc w:val="center"/>
              <w:rPr>
                <w:rFonts w:ascii="Times New Roman" w:hAnsi="Times New Roman"/>
                <w:bCs/>
                <w:szCs w:val="21"/>
                <w:highlight w:val="none"/>
              </w:rPr>
            </w:pPr>
            <w:r>
              <w:rPr>
                <w:rFonts w:ascii="Times New Roman" w:hAnsi="宋体"/>
                <w:bCs/>
                <w:szCs w:val="21"/>
                <w:highlight w:val="none"/>
              </w:rPr>
              <w:t>条款名称</w:t>
            </w:r>
          </w:p>
        </w:tc>
        <w:tc>
          <w:tcPr>
            <w:tcW w:w="3699" w:type="pct"/>
            <w:vAlign w:val="center"/>
          </w:tcPr>
          <w:p w14:paraId="0D551374">
            <w:pPr>
              <w:adjustRightInd w:val="0"/>
              <w:snapToGrid w:val="0"/>
              <w:spacing w:line="340" w:lineRule="exact"/>
              <w:jc w:val="center"/>
              <w:rPr>
                <w:rFonts w:hint="eastAsia" w:ascii="宋体" w:hAnsi="宋体"/>
                <w:bCs/>
                <w:szCs w:val="21"/>
                <w:highlight w:val="none"/>
              </w:rPr>
            </w:pPr>
            <w:r>
              <w:rPr>
                <w:rFonts w:ascii="Times New Roman" w:hAnsi="宋体"/>
                <w:bCs/>
                <w:szCs w:val="21"/>
                <w:highlight w:val="none"/>
              </w:rPr>
              <w:t>编列内容</w:t>
            </w:r>
          </w:p>
        </w:tc>
      </w:tr>
      <w:tr w14:paraId="44D71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390" w:hRule="atLeast"/>
          <w:jc w:val="center"/>
        </w:trPr>
        <w:tc>
          <w:tcPr>
            <w:tcW w:w="490" w:type="pct"/>
            <w:vAlign w:val="center"/>
          </w:tcPr>
          <w:p w14:paraId="629DED11">
            <w:pPr>
              <w:adjustRightInd w:val="0"/>
              <w:snapToGrid w:val="0"/>
              <w:spacing w:line="340" w:lineRule="exact"/>
              <w:jc w:val="center"/>
              <w:rPr>
                <w:rFonts w:hint="eastAsia" w:ascii="宋体" w:hAnsi="宋体"/>
                <w:bCs/>
                <w:szCs w:val="21"/>
                <w:highlight w:val="none"/>
              </w:rPr>
            </w:pPr>
            <w:r>
              <w:rPr>
                <w:rFonts w:ascii="宋体" w:hAnsi="宋体"/>
                <w:bCs/>
                <w:szCs w:val="21"/>
                <w:highlight w:val="none"/>
              </w:rPr>
              <w:t>1.1.2</w:t>
            </w:r>
          </w:p>
        </w:tc>
        <w:tc>
          <w:tcPr>
            <w:tcW w:w="811" w:type="pct"/>
            <w:vAlign w:val="center"/>
          </w:tcPr>
          <w:p w14:paraId="5F9C8190">
            <w:pPr>
              <w:adjustRightInd w:val="0"/>
              <w:snapToGrid w:val="0"/>
              <w:spacing w:line="340" w:lineRule="exact"/>
              <w:jc w:val="center"/>
              <w:rPr>
                <w:rFonts w:ascii="Times New Roman" w:hAnsi="Times New Roman"/>
                <w:bCs/>
                <w:szCs w:val="21"/>
                <w:highlight w:val="none"/>
              </w:rPr>
            </w:pPr>
            <w:r>
              <w:rPr>
                <w:rFonts w:ascii="Times New Roman" w:hAnsi="宋体"/>
                <w:bCs/>
                <w:szCs w:val="21"/>
                <w:highlight w:val="none"/>
              </w:rPr>
              <w:t>招标人</w:t>
            </w:r>
          </w:p>
        </w:tc>
        <w:tc>
          <w:tcPr>
            <w:tcW w:w="3699" w:type="pct"/>
          </w:tcPr>
          <w:p w14:paraId="28AA08C2">
            <w:pPr>
              <w:spacing w:line="340" w:lineRule="exact"/>
              <w:rPr>
                <w:rFonts w:hint="eastAsia" w:ascii="黑体" w:hAnsi="黑体" w:eastAsia="黑体"/>
                <w:bCs/>
                <w:color w:val="000000"/>
                <w:szCs w:val="21"/>
                <w:highlight w:val="none"/>
              </w:rPr>
            </w:pPr>
            <w:r>
              <w:rPr>
                <w:rFonts w:hint="eastAsia" w:ascii="黑体" w:hAnsi="黑体" w:eastAsia="黑体"/>
                <w:bCs/>
                <w:color w:val="000000"/>
                <w:szCs w:val="21"/>
                <w:highlight w:val="none"/>
              </w:rPr>
              <w:t>名  称：</w:t>
            </w:r>
            <w:r>
              <w:rPr>
                <w:rFonts w:hint="eastAsia" w:ascii="黑体" w:hAnsi="黑体" w:eastAsia="黑体"/>
                <w:bCs/>
                <w:szCs w:val="21"/>
                <w:highlight w:val="none"/>
              </w:rPr>
              <w:t>延边朝鲜族自治州公路管理处（延边州公路养护工程项目管理办公室）</w:t>
            </w:r>
          </w:p>
          <w:p w14:paraId="1E1EC9FA">
            <w:pPr>
              <w:spacing w:line="340" w:lineRule="exact"/>
              <w:rPr>
                <w:rFonts w:hint="eastAsia" w:ascii="宋体" w:hAnsi="宋体"/>
                <w:bCs/>
                <w:color w:val="000000"/>
                <w:szCs w:val="21"/>
                <w:highlight w:val="none"/>
              </w:rPr>
            </w:pPr>
            <w:r>
              <w:rPr>
                <w:rFonts w:hint="eastAsia" w:ascii="宋体" w:hAnsi="宋体"/>
                <w:bCs/>
                <w:color w:val="000000"/>
                <w:szCs w:val="21"/>
                <w:highlight w:val="none"/>
              </w:rPr>
              <w:t>地  址：延吉市公园路5568号</w:t>
            </w:r>
          </w:p>
          <w:p w14:paraId="1E374AF2">
            <w:pPr>
              <w:spacing w:line="340" w:lineRule="exact"/>
              <w:rPr>
                <w:rFonts w:hint="eastAsia" w:ascii="宋体" w:hAnsi="宋体"/>
                <w:bCs/>
                <w:color w:val="000000"/>
                <w:szCs w:val="21"/>
                <w:highlight w:val="none"/>
              </w:rPr>
            </w:pPr>
            <w:r>
              <w:rPr>
                <w:rFonts w:hint="eastAsia" w:ascii="宋体" w:hAnsi="宋体"/>
                <w:bCs/>
                <w:color w:val="000000"/>
                <w:szCs w:val="21"/>
                <w:highlight w:val="none"/>
              </w:rPr>
              <w:t>联系人：程龙</w:t>
            </w:r>
          </w:p>
          <w:p w14:paraId="4A0F37A9">
            <w:pPr>
              <w:snapToGrid w:val="0"/>
              <w:spacing w:line="340" w:lineRule="exact"/>
              <w:rPr>
                <w:rFonts w:hint="eastAsia" w:ascii="宋体" w:hAnsi="宋体"/>
                <w:bCs/>
                <w:color w:val="000000"/>
                <w:szCs w:val="21"/>
                <w:highlight w:val="none"/>
              </w:rPr>
            </w:pPr>
            <w:r>
              <w:rPr>
                <w:rFonts w:hint="eastAsia" w:ascii="宋体" w:hAnsi="宋体"/>
                <w:bCs/>
                <w:color w:val="000000"/>
                <w:szCs w:val="21"/>
                <w:highlight w:val="none"/>
              </w:rPr>
              <w:t>电  话：0433-2705321</w:t>
            </w:r>
          </w:p>
        </w:tc>
      </w:tr>
      <w:tr w14:paraId="5BE64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490" w:type="pct"/>
            <w:vAlign w:val="center"/>
          </w:tcPr>
          <w:p w14:paraId="0BB108AC">
            <w:pPr>
              <w:adjustRightInd w:val="0"/>
              <w:snapToGrid w:val="0"/>
              <w:spacing w:line="340" w:lineRule="exact"/>
              <w:jc w:val="center"/>
              <w:rPr>
                <w:rFonts w:hint="eastAsia" w:ascii="宋体" w:hAnsi="宋体"/>
                <w:bCs/>
                <w:szCs w:val="21"/>
                <w:highlight w:val="none"/>
              </w:rPr>
            </w:pPr>
            <w:r>
              <w:rPr>
                <w:rFonts w:ascii="宋体" w:hAnsi="宋体"/>
                <w:bCs/>
                <w:szCs w:val="21"/>
                <w:highlight w:val="none"/>
              </w:rPr>
              <w:t>1.1.3</w:t>
            </w:r>
          </w:p>
        </w:tc>
        <w:tc>
          <w:tcPr>
            <w:tcW w:w="811" w:type="pct"/>
            <w:vAlign w:val="center"/>
          </w:tcPr>
          <w:p w14:paraId="21A66C87">
            <w:pPr>
              <w:adjustRightInd w:val="0"/>
              <w:snapToGrid w:val="0"/>
              <w:spacing w:line="340" w:lineRule="exact"/>
              <w:jc w:val="center"/>
              <w:rPr>
                <w:rFonts w:ascii="Times New Roman" w:hAnsi="Times New Roman"/>
                <w:bCs/>
                <w:szCs w:val="21"/>
                <w:highlight w:val="none"/>
              </w:rPr>
            </w:pPr>
            <w:r>
              <w:rPr>
                <w:rFonts w:ascii="Times New Roman" w:hAnsi="宋体"/>
                <w:bCs/>
                <w:szCs w:val="21"/>
                <w:highlight w:val="none"/>
              </w:rPr>
              <w:t>招标</w:t>
            </w:r>
          </w:p>
          <w:p w14:paraId="089E39CF">
            <w:pPr>
              <w:adjustRightInd w:val="0"/>
              <w:snapToGrid w:val="0"/>
              <w:spacing w:line="340" w:lineRule="exact"/>
              <w:jc w:val="center"/>
              <w:rPr>
                <w:rFonts w:ascii="Times New Roman" w:hAnsi="Times New Roman"/>
                <w:bCs/>
                <w:szCs w:val="21"/>
                <w:highlight w:val="none"/>
              </w:rPr>
            </w:pPr>
            <w:r>
              <w:rPr>
                <w:rFonts w:ascii="Times New Roman" w:hAnsi="宋体"/>
                <w:bCs/>
                <w:szCs w:val="21"/>
                <w:highlight w:val="none"/>
              </w:rPr>
              <w:t>代理机构</w:t>
            </w:r>
          </w:p>
        </w:tc>
        <w:tc>
          <w:tcPr>
            <w:tcW w:w="3699" w:type="pct"/>
          </w:tcPr>
          <w:p w14:paraId="19EA6196">
            <w:pPr>
              <w:spacing w:line="340" w:lineRule="exact"/>
              <w:rPr>
                <w:rFonts w:hint="eastAsia" w:ascii="黑体" w:hAnsi="黑体" w:eastAsia="黑体"/>
                <w:bCs/>
                <w:spacing w:val="-10"/>
                <w:szCs w:val="21"/>
                <w:highlight w:val="none"/>
              </w:rPr>
            </w:pPr>
            <w:r>
              <w:rPr>
                <w:rFonts w:hint="eastAsia" w:ascii="黑体" w:hAnsi="黑体" w:eastAsia="黑体"/>
                <w:bCs/>
                <w:szCs w:val="21"/>
                <w:highlight w:val="none"/>
              </w:rPr>
              <w:t>名  称：吉林省伟邦公路技术有限公司</w:t>
            </w:r>
          </w:p>
          <w:p w14:paraId="4FAE7D53">
            <w:pPr>
              <w:spacing w:line="340" w:lineRule="exact"/>
              <w:rPr>
                <w:rFonts w:hint="eastAsia" w:ascii="宋体" w:hAnsi="宋体"/>
                <w:bCs/>
                <w:szCs w:val="21"/>
                <w:highlight w:val="none"/>
              </w:rPr>
            </w:pPr>
            <w:r>
              <w:rPr>
                <w:rFonts w:hint="eastAsia" w:ascii="宋体" w:hAnsi="宋体"/>
                <w:bCs/>
                <w:szCs w:val="21"/>
                <w:highlight w:val="none"/>
              </w:rPr>
              <w:t>地  址：长春净月高新技术产业开发区擎天树街855号</w:t>
            </w:r>
          </w:p>
          <w:p w14:paraId="740ABE14">
            <w:pPr>
              <w:spacing w:line="340" w:lineRule="exact"/>
              <w:rPr>
                <w:rFonts w:hint="eastAsia" w:ascii="宋体" w:hAnsi="宋体"/>
                <w:bCs/>
                <w:szCs w:val="21"/>
                <w:highlight w:val="none"/>
              </w:rPr>
            </w:pPr>
            <w:r>
              <w:rPr>
                <w:rFonts w:hint="eastAsia" w:ascii="宋体" w:hAnsi="宋体"/>
                <w:bCs/>
                <w:color w:val="000000"/>
                <w:szCs w:val="21"/>
                <w:highlight w:val="none"/>
              </w:rPr>
              <w:t>联系人</w:t>
            </w:r>
            <w:r>
              <w:rPr>
                <w:rFonts w:ascii="宋体" w:hAnsi="宋体"/>
                <w:bCs/>
                <w:color w:val="000000"/>
                <w:szCs w:val="21"/>
                <w:highlight w:val="none"/>
              </w:rPr>
              <w:t>：</w:t>
            </w:r>
            <w:r>
              <w:rPr>
                <w:rFonts w:hint="eastAsia" w:ascii="宋体" w:hAnsi="宋体"/>
                <w:bCs/>
                <w:szCs w:val="21"/>
                <w:highlight w:val="none"/>
              </w:rPr>
              <w:t>赵鑫、刘世远</w:t>
            </w:r>
          </w:p>
          <w:p w14:paraId="1FDC278F">
            <w:pPr>
              <w:snapToGrid w:val="0"/>
              <w:spacing w:line="340" w:lineRule="exact"/>
              <w:rPr>
                <w:bCs/>
                <w:szCs w:val="21"/>
                <w:highlight w:val="none"/>
              </w:rPr>
            </w:pPr>
            <w:r>
              <w:rPr>
                <w:rFonts w:hint="eastAsia" w:ascii="宋体" w:hAnsi="宋体"/>
                <w:bCs/>
                <w:color w:val="000000"/>
                <w:szCs w:val="21"/>
                <w:highlight w:val="none"/>
              </w:rPr>
              <w:t>电  话：</w:t>
            </w:r>
            <w:r>
              <w:rPr>
                <w:rFonts w:hint="eastAsia" w:ascii="宋体" w:hAnsi="宋体"/>
                <w:bCs/>
                <w:szCs w:val="21"/>
                <w:highlight w:val="none"/>
              </w:rPr>
              <w:t>0431－88655555</w:t>
            </w:r>
          </w:p>
        </w:tc>
      </w:tr>
      <w:tr w14:paraId="3AD6D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490" w:type="pct"/>
            <w:vAlign w:val="center"/>
          </w:tcPr>
          <w:p w14:paraId="2D763E9D">
            <w:pPr>
              <w:adjustRightInd w:val="0"/>
              <w:snapToGrid w:val="0"/>
              <w:spacing w:line="340" w:lineRule="exact"/>
              <w:jc w:val="center"/>
              <w:rPr>
                <w:rFonts w:hint="eastAsia" w:ascii="宋体" w:hAnsi="宋体"/>
                <w:bCs/>
                <w:szCs w:val="21"/>
                <w:highlight w:val="none"/>
              </w:rPr>
            </w:pPr>
            <w:r>
              <w:rPr>
                <w:rFonts w:ascii="宋体" w:hAnsi="宋体"/>
                <w:bCs/>
                <w:szCs w:val="21"/>
                <w:highlight w:val="none"/>
              </w:rPr>
              <w:t>1.1.4</w:t>
            </w:r>
          </w:p>
        </w:tc>
        <w:tc>
          <w:tcPr>
            <w:tcW w:w="811" w:type="pct"/>
            <w:vAlign w:val="center"/>
          </w:tcPr>
          <w:p w14:paraId="2C4CEB85">
            <w:pPr>
              <w:adjustRightInd w:val="0"/>
              <w:snapToGrid w:val="0"/>
              <w:spacing w:line="340" w:lineRule="exact"/>
              <w:jc w:val="center"/>
              <w:rPr>
                <w:rFonts w:ascii="Times New Roman" w:hAnsi="Times New Roman"/>
                <w:bCs/>
                <w:szCs w:val="21"/>
                <w:highlight w:val="none"/>
              </w:rPr>
            </w:pPr>
            <w:r>
              <w:rPr>
                <w:rFonts w:hint="eastAsia" w:ascii="宋体" w:hAnsi="宋体"/>
                <w:bCs/>
                <w:szCs w:val="21"/>
                <w:highlight w:val="none"/>
              </w:rPr>
              <w:t>招标</w:t>
            </w:r>
            <w:r>
              <w:rPr>
                <w:rFonts w:ascii="宋体" w:hAnsi="宋体"/>
                <w:bCs/>
                <w:szCs w:val="21"/>
                <w:highlight w:val="none"/>
              </w:rPr>
              <w:t>项目名称</w:t>
            </w:r>
          </w:p>
        </w:tc>
        <w:tc>
          <w:tcPr>
            <w:tcW w:w="3699" w:type="pct"/>
          </w:tcPr>
          <w:p w14:paraId="1DF42908">
            <w:pPr>
              <w:adjustRightInd w:val="0"/>
              <w:snapToGrid w:val="0"/>
              <w:spacing w:line="340" w:lineRule="exact"/>
              <w:rPr>
                <w:rFonts w:hint="eastAsia" w:ascii="黑体" w:hAnsi="黑体" w:eastAsia="黑体"/>
                <w:bCs/>
                <w:kern w:val="0"/>
                <w:szCs w:val="21"/>
                <w:highlight w:val="none"/>
                <w:lang w:val="zh-CN"/>
              </w:rPr>
            </w:pPr>
            <w:r>
              <w:rPr>
                <w:rFonts w:hint="eastAsia" w:ascii="黑体" w:hAnsi="黑体" w:eastAsia="黑体"/>
                <w:bCs/>
                <w:szCs w:val="21"/>
                <w:highlight w:val="none"/>
              </w:rPr>
              <w:t>延边州2026年龙东公路开山屯至城管起点、新建至松江镇北出口、观景台至三道林场及松露公路松江至二道白河</w:t>
            </w:r>
            <w:r>
              <w:rPr>
                <w:rFonts w:hint="eastAsia" w:ascii="黑体" w:hAnsi="黑体" w:eastAsia="黑体"/>
                <w:bCs/>
                <w:szCs w:val="21"/>
                <w:highlight w:val="none"/>
              </w:rPr>
              <w:t>路面提质工程</w:t>
            </w:r>
          </w:p>
        </w:tc>
      </w:tr>
      <w:tr w14:paraId="3C521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490" w:type="pct"/>
            <w:vAlign w:val="center"/>
          </w:tcPr>
          <w:p w14:paraId="5F282A8C">
            <w:pPr>
              <w:adjustRightInd w:val="0"/>
              <w:snapToGrid w:val="0"/>
              <w:spacing w:line="340" w:lineRule="exact"/>
              <w:jc w:val="center"/>
              <w:rPr>
                <w:rFonts w:hint="eastAsia" w:ascii="宋体" w:hAnsi="宋体"/>
                <w:bCs/>
                <w:szCs w:val="21"/>
                <w:highlight w:val="none"/>
              </w:rPr>
            </w:pPr>
            <w:r>
              <w:rPr>
                <w:rFonts w:ascii="宋体" w:hAnsi="宋体"/>
                <w:bCs/>
                <w:szCs w:val="21"/>
                <w:highlight w:val="none"/>
              </w:rPr>
              <w:t>1.1.5</w:t>
            </w:r>
          </w:p>
        </w:tc>
        <w:tc>
          <w:tcPr>
            <w:tcW w:w="811" w:type="pct"/>
            <w:vAlign w:val="center"/>
          </w:tcPr>
          <w:p w14:paraId="22F51474">
            <w:pPr>
              <w:adjustRightInd w:val="0"/>
              <w:snapToGrid w:val="0"/>
              <w:spacing w:line="340" w:lineRule="exact"/>
              <w:jc w:val="center"/>
              <w:rPr>
                <w:rFonts w:ascii="Times New Roman" w:hAnsi="Times New Roman"/>
                <w:bCs/>
                <w:szCs w:val="21"/>
                <w:highlight w:val="none"/>
              </w:rPr>
            </w:pPr>
            <w:r>
              <w:rPr>
                <w:rFonts w:hint="eastAsia" w:ascii="宋体" w:hAnsi="宋体"/>
                <w:bCs/>
                <w:szCs w:val="21"/>
                <w:highlight w:val="none"/>
              </w:rPr>
              <w:t>标段</w:t>
            </w:r>
            <w:r>
              <w:rPr>
                <w:rFonts w:ascii="宋体" w:hAnsi="宋体"/>
                <w:bCs/>
                <w:szCs w:val="21"/>
                <w:highlight w:val="none"/>
              </w:rPr>
              <w:t>建设地点</w:t>
            </w:r>
          </w:p>
        </w:tc>
        <w:tc>
          <w:tcPr>
            <w:tcW w:w="3699" w:type="pct"/>
            <w:vAlign w:val="center"/>
          </w:tcPr>
          <w:p w14:paraId="2F1E6695">
            <w:pPr>
              <w:autoSpaceDE w:val="0"/>
              <w:autoSpaceDN w:val="0"/>
              <w:adjustRightInd w:val="0"/>
              <w:snapToGrid w:val="0"/>
              <w:spacing w:line="340" w:lineRule="exact"/>
              <w:rPr>
                <w:rFonts w:hint="eastAsia" w:ascii="宋体" w:hAnsi="宋体"/>
                <w:bCs/>
                <w:kern w:val="0"/>
                <w:szCs w:val="21"/>
                <w:highlight w:val="none"/>
              </w:rPr>
            </w:pPr>
            <w:r>
              <w:rPr>
                <w:rFonts w:hint="eastAsia" w:ascii="宋体" w:hAnsi="宋体"/>
                <w:bCs/>
                <w:szCs w:val="21"/>
                <w:highlight w:val="none"/>
              </w:rPr>
              <w:t>见招标文件第一章“招标公告”</w:t>
            </w:r>
          </w:p>
        </w:tc>
      </w:tr>
      <w:tr w14:paraId="12B60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490" w:type="pct"/>
            <w:vAlign w:val="center"/>
          </w:tcPr>
          <w:p w14:paraId="354A1F04">
            <w:pPr>
              <w:adjustRightInd w:val="0"/>
              <w:snapToGrid w:val="0"/>
              <w:spacing w:line="340" w:lineRule="exact"/>
              <w:jc w:val="center"/>
              <w:rPr>
                <w:rFonts w:hint="eastAsia" w:ascii="宋体" w:hAnsi="宋体"/>
                <w:bCs/>
                <w:szCs w:val="21"/>
                <w:highlight w:val="none"/>
              </w:rPr>
            </w:pPr>
            <w:r>
              <w:rPr>
                <w:rFonts w:ascii="宋体" w:hAnsi="宋体"/>
                <w:bCs/>
                <w:szCs w:val="21"/>
                <w:highlight w:val="none"/>
              </w:rPr>
              <w:t>1.2.1</w:t>
            </w:r>
          </w:p>
        </w:tc>
        <w:tc>
          <w:tcPr>
            <w:tcW w:w="811" w:type="pct"/>
            <w:vAlign w:val="center"/>
          </w:tcPr>
          <w:p w14:paraId="77949EC3">
            <w:pPr>
              <w:adjustRightInd w:val="0"/>
              <w:snapToGrid w:val="0"/>
              <w:spacing w:line="340" w:lineRule="exact"/>
              <w:jc w:val="center"/>
              <w:rPr>
                <w:rFonts w:hint="eastAsia" w:ascii="宋体" w:hAnsi="宋体"/>
                <w:bCs/>
                <w:szCs w:val="21"/>
                <w:highlight w:val="none"/>
              </w:rPr>
            </w:pPr>
            <w:r>
              <w:rPr>
                <w:rFonts w:ascii="宋体" w:hAnsi="宋体"/>
                <w:bCs/>
                <w:szCs w:val="21"/>
                <w:highlight w:val="none"/>
              </w:rPr>
              <w:t>资金来源</w:t>
            </w:r>
          </w:p>
          <w:p w14:paraId="1B9B9587">
            <w:pPr>
              <w:adjustRightInd w:val="0"/>
              <w:snapToGrid w:val="0"/>
              <w:spacing w:line="340" w:lineRule="exact"/>
              <w:jc w:val="center"/>
              <w:rPr>
                <w:rFonts w:ascii="Times New Roman" w:hAnsi="Times New Roman"/>
                <w:bCs/>
                <w:szCs w:val="21"/>
                <w:highlight w:val="none"/>
              </w:rPr>
            </w:pPr>
            <w:r>
              <w:rPr>
                <w:rFonts w:hint="eastAsia" w:ascii="宋体" w:hAnsi="宋体"/>
                <w:bCs/>
                <w:szCs w:val="21"/>
                <w:highlight w:val="none"/>
              </w:rPr>
              <w:t>及比例</w:t>
            </w:r>
          </w:p>
        </w:tc>
        <w:tc>
          <w:tcPr>
            <w:tcW w:w="3699" w:type="pct"/>
            <w:vAlign w:val="center"/>
          </w:tcPr>
          <w:p w14:paraId="3AC42B18">
            <w:pPr>
              <w:autoSpaceDE w:val="0"/>
              <w:autoSpaceDN w:val="0"/>
              <w:adjustRightInd w:val="0"/>
              <w:snapToGrid w:val="0"/>
              <w:spacing w:line="340" w:lineRule="exact"/>
              <w:rPr>
                <w:rFonts w:hint="eastAsia" w:ascii="宋体" w:hAnsi="宋体"/>
                <w:bCs/>
                <w:szCs w:val="21"/>
                <w:highlight w:val="none"/>
              </w:rPr>
            </w:pPr>
            <w:bookmarkStart w:id="78" w:name="OLE_LINK50"/>
            <w:r>
              <w:rPr>
                <w:rFonts w:hint="eastAsia" w:ascii="宋体" w:hAnsi="宋体"/>
                <w:bCs/>
                <w:szCs w:val="21"/>
                <w:highlight w:val="none"/>
              </w:rPr>
              <w:t>见招标文件第一章“招标公告”</w:t>
            </w:r>
            <w:bookmarkEnd w:id="78"/>
          </w:p>
        </w:tc>
      </w:tr>
      <w:tr w14:paraId="2F84B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490" w:type="pct"/>
            <w:vAlign w:val="center"/>
          </w:tcPr>
          <w:p w14:paraId="6BAD2510">
            <w:pPr>
              <w:adjustRightInd w:val="0"/>
              <w:snapToGrid w:val="0"/>
              <w:spacing w:line="340" w:lineRule="exact"/>
              <w:jc w:val="center"/>
              <w:rPr>
                <w:rFonts w:hint="eastAsia" w:ascii="宋体" w:hAnsi="宋体"/>
                <w:bCs/>
                <w:szCs w:val="21"/>
                <w:highlight w:val="none"/>
              </w:rPr>
            </w:pPr>
            <w:r>
              <w:rPr>
                <w:rFonts w:ascii="宋体" w:hAnsi="宋体"/>
                <w:bCs/>
                <w:szCs w:val="21"/>
                <w:highlight w:val="none"/>
              </w:rPr>
              <w:t>1.2.</w:t>
            </w:r>
            <w:r>
              <w:rPr>
                <w:rFonts w:hint="eastAsia" w:ascii="宋体" w:hAnsi="宋体"/>
                <w:bCs/>
                <w:szCs w:val="21"/>
                <w:highlight w:val="none"/>
              </w:rPr>
              <w:t>2</w:t>
            </w:r>
          </w:p>
        </w:tc>
        <w:tc>
          <w:tcPr>
            <w:tcW w:w="811" w:type="pct"/>
            <w:vAlign w:val="center"/>
          </w:tcPr>
          <w:p w14:paraId="6C73BBD0">
            <w:pPr>
              <w:adjustRightInd w:val="0"/>
              <w:snapToGrid w:val="0"/>
              <w:spacing w:line="340" w:lineRule="exact"/>
              <w:jc w:val="center"/>
              <w:rPr>
                <w:rFonts w:ascii="Times New Roman" w:hAnsi="Times New Roman"/>
                <w:bCs/>
                <w:szCs w:val="21"/>
                <w:highlight w:val="none"/>
              </w:rPr>
            </w:pPr>
            <w:r>
              <w:rPr>
                <w:rFonts w:ascii="Times New Roman" w:hAnsi="宋体"/>
                <w:bCs/>
                <w:szCs w:val="21"/>
                <w:highlight w:val="none"/>
              </w:rPr>
              <w:t>资金</w:t>
            </w:r>
          </w:p>
          <w:p w14:paraId="2EF91512">
            <w:pPr>
              <w:adjustRightInd w:val="0"/>
              <w:snapToGrid w:val="0"/>
              <w:spacing w:line="340" w:lineRule="exact"/>
              <w:jc w:val="center"/>
              <w:rPr>
                <w:rFonts w:ascii="Times New Roman" w:hAnsi="Times New Roman"/>
                <w:bCs/>
                <w:szCs w:val="21"/>
                <w:highlight w:val="none"/>
              </w:rPr>
            </w:pPr>
            <w:r>
              <w:rPr>
                <w:rFonts w:ascii="Times New Roman" w:hAnsi="宋体"/>
                <w:bCs/>
                <w:szCs w:val="21"/>
                <w:highlight w:val="none"/>
              </w:rPr>
              <w:t>落实情况</w:t>
            </w:r>
          </w:p>
        </w:tc>
        <w:tc>
          <w:tcPr>
            <w:tcW w:w="3699" w:type="pct"/>
            <w:vAlign w:val="center"/>
          </w:tcPr>
          <w:p w14:paraId="24AA2CC8">
            <w:pPr>
              <w:pStyle w:val="35"/>
              <w:pBdr>
                <w:bottom w:val="none" w:color="auto" w:sz="0" w:space="0"/>
              </w:pBdr>
              <w:tabs>
                <w:tab w:val="clear" w:pos="4153"/>
                <w:tab w:val="clear" w:pos="8306"/>
              </w:tabs>
              <w:autoSpaceDE w:val="0"/>
              <w:autoSpaceDN w:val="0"/>
              <w:adjustRightInd w:val="0"/>
              <w:spacing w:line="340" w:lineRule="exact"/>
              <w:jc w:val="both"/>
              <w:rPr>
                <w:rFonts w:hint="eastAsia" w:ascii="宋体" w:hAnsi="宋体"/>
                <w:bCs/>
                <w:kern w:val="2"/>
                <w:sz w:val="21"/>
                <w:szCs w:val="21"/>
                <w:highlight w:val="none"/>
              </w:rPr>
            </w:pPr>
            <w:r>
              <w:rPr>
                <w:rFonts w:ascii="宋体" w:hAnsi="宋体"/>
                <w:bCs/>
                <w:kern w:val="2"/>
                <w:sz w:val="21"/>
                <w:szCs w:val="21"/>
                <w:highlight w:val="none"/>
              </w:rPr>
              <w:t>已落实</w:t>
            </w:r>
          </w:p>
        </w:tc>
      </w:tr>
      <w:tr w14:paraId="7DF71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490" w:type="pct"/>
            <w:vAlign w:val="center"/>
          </w:tcPr>
          <w:p w14:paraId="111E7BE9">
            <w:pPr>
              <w:adjustRightInd w:val="0"/>
              <w:snapToGrid w:val="0"/>
              <w:spacing w:line="340" w:lineRule="exact"/>
              <w:jc w:val="center"/>
              <w:rPr>
                <w:rFonts w:hint="eastAsia" w:ascii="宋体" w:hAnsi="宋体"/>
                <w:bCs/>
                <w:szCs w:val="21"/>
                <w:highlight w:val="none"/>
              </w:rPr>
            </w:pPr>
            <w:r>
              <w:rPr>
                <w:rFonts w:ascii="宋体" w:hAnsi="宋体"/>
                <w:bCs/>
                <w:szCs w:val="21"/>
                <w:highlight w:val="none"/>
              </w:rPr>
              <w:t>1.3.1</w:t>
            </w:r>
          </w:p>
        </w:tc>
        <w:tc>
          <w:tcPr>
            <w:tcW w:w="811" w:type="pct"/>
            <w:vAlign w:val="center"/>
          </w:tcPr>
          <w:p w14:paraId="598464DF">
            <w:pPr>
              <w:adjustRightInd w:val="0"/>
              <w:snapToGrid w:val="0"/>
              <w:spacing w:line="340" w:lineRule="exact"/>
              <w:jc w:val="center"/>
              <w:rPr>
                <w:rFonts w:ascii="Times New Roman" w:hAnsi="Times New Roman"/>
                <w:bCs/>
                <w:szCs w:val="21"/>
                <w:highlight w:val="none"/>
              </w:rPr>
            </w:pPr>
            <w:r>
              <w:rPr>
                <w:rFonts w:ascii="Times New Roman" w:hAnsi="宋体"/>
                <w:bCs/>
                <w:szCs w:val="21"/>
                <w:highlight w:val="none"/>
              </w:rPr>
              <w:t>招标范围</w:t>
            </w:r>
          </w:p>
        </w:tc>
        <w:tc>
          <w:tcPr>
            <w:tcW w:w="3699" w:type="pct"/>
            <w:vAlign w:val="center"/>
          </w:tcPr>
          <w:p w14:paraId="471EA6F0">
            <w:pPr>
              <w:pStyle w:val="35"/>
              <w:pBdr>
                <w:bottom w:val="none" w:color="auto" w:sz="0" w:space="0"/>
              </w:pBdr>
              <w:tabs>
                <w:tab w:val="clear" w:pos="4153"/>
                <w:tab w:val="clear" w:pos="8306"/>
              </w:tabs>
              <w:autoSpaceDE w:val="0"/>
              <w:autoSpaceDN w:val="0"/>
              <w:adjustRightInd w:val="0"/>
              <w:spacing w:line="340" w:lineRule="exact"/>
              <w:jc w:val="both"/>
              <w:rPr>
                <w:rFonts w:hint="eastAsia" w:ascii="黑体" w:hAnsi="黑体" w:eastAsia="黑体"/>
                <w:bCs/>
                <w:sz w:val="21"/>
                <w:szCs w:val="21"/>
                <w:highlight w:val="none"/>
              </w:rPr>
            </w:pPr>
            <w:r>
              <w:rPr>
                <w:rFonts w:hint="eastAsia" w:ascii="宋体" w:hAnsi="宋体"/>
                <w:bCs/>
                <w:kern w:val="2"/>
                <w:sz w:val="21"/>
                <w:szCs w:val="21"/>
                <w:highlight w:val="none"/>
              </w:rPr>
              <w:t>见招标文件第一章“招标公告”</w:t>
            </w:r>
          </w:p>
        </w:tc>
      </w:tr>
      <w:tr w14:paraId="1DC1D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490" w:type="pct"/>
            <w:vAlign w:val="center"/>
          </w:tcPr>
          <w:p w14:paraId="0C0F457C">
            <w:pPr>
              <w:adjustRightInd w:val="0"/>
              <w:snapToGrid w:val="0"/>
              <w:spacing w:line="340" w:lineRule="exact"/>
              <w:jc w:val="center"/>
              <w:rPr>
                <w:rFonts w:hint="eastAsia" w:ascii="宋体" w:hAnsi="宋体"/>
                <w:bCs/>
                <w:szCs w:val="21"/>
                <w:highlight w:val="none"/>
              </w:rPr>
            </w:pPr>
            <w:r>
              <w:rPr>
                <w:rFonts w:ascii="宋体" w:hAnsi="宋体"/>
                <w:bCs/>
                <w:szCs w:val="21"/>
                <w:highlight w:val="none"/>
              </w:rPr>
              <w:t>1.3.2</w:t>
            </w:r>
          </w:p>
        </w:tc>
        <w:tc>
          <w:tcPr>
            <w:tcW w:w="811" w:type="pct"/>
            <w:vAlign w:val="center"/>
          </w:tcPr>
          <w:p w14:paraId="40E96E0E">
            <w:pPr>
              <w:adjustRightInd w:val="0"/>
              <w:snapToGrid w:val="0"/>
              <w:spacing w:line="340" w:lineRule="exact"/>
              <w:jc w:val="center"/>
              <w:rPr>
                <w:rFonts w:ascii="Times New Roman" w:hAnsi="Times New Roman"/>
                <w:bCs/>
                <w:szCs w:val="21"/>
                <w:highlight w:val="none"/>
              </w:rPr>
            </w:pPr>
            <w:r>
              <w:rPr>
                <w:rFonts w:ascii="Times New Roman" w:hAnsi="宋体"/>
                <w:bCs/>
                <w:szCs w:val="21"/>
                <w:highlight w:val="none"/>
              </w:rPr>
              <w:t>计划工期</w:t>
            </w:r>
          </w:p>
        </w:tc>
        <w:tc>
          <w:tcPr>
            <w:tcW w:w="3699" w:type="pct"/>
            <w:vAlign w:val="center"/>
          </w:tcPr>
          <w:p w14:paraId="33D4FC32">
            <w:pPr>
              <w:spacing w:line="360" w:lineRule="exact"/>
              <w:rPr>
                <w:rFonts w:hint="eastAsia" w:ascii="黑体" w:hAnsi="黑体" w:eastAsia="黑体"/>
                <w:bCs/>
                <w:color w:val="000000"/>
                <w:kern w:val="0"/>
                <w:szCs w:val="21"/>
                <w:highlight w:val="none"/>
              </w:rPr>
            </w:pPr>
            <w:r>
              <w:rPr>
                <w:rFonts w:hint="eastAsia" w:ascii="宋体" w:hAnsi="宋体"/>
                <w:bCs/>
                <w:color w:val="000000"/>
                <w:kern w:val="0"/>
                <w:szCs w:val="21"/>
                <w:highlight w:val="none"/>
              </w:rPr>
              <w:t>计划工期：</w:t>
            </w:r>
            <w:r>
              <w:rPr>
                <w:rFonts w:hint="eastAsia" w:ascii="黑体" w:hAnsi="黑体" w:eastAsia="黑体"/>
                <w:bCs/>
                <w:color w:val="000000"/>
                <w:kern w:val="0"/>
                <w:szCs w:val="21"/>
                <w:highlight w:val="none"/>
              </w:rPr>
              <w:t>113日历天</w:t>
            </w:r>
          </w:p>
          <w:p w14:paraId="0CDBD2D9">
            <w:pPr>
              <w:adjustRightInd w:val="0"/>
              <w:snapToGrid w:val="0"/>
              <w:spacing w:line="360" w:lineRule="exact"/>
              <w:rPr>
                <w:rFonts w:hint="eastAsia" w:ascii="黑体" w:hAnsi="黑体" w:eastAsia="黑体"/>
                <w:bCs/>
                <w:color w:val="000000"/>
                <w:kern w:val="0"/>
                <w:szCs w:val="21"/>
                <w:highlight w:val="none"/>
              </w:rPr>
            </w:pPr>
            <w:r>
              <w:rPr>
                <w:rFonts w:hint="eastAsia" w:ascii="宋体" w:hAnsi="宋体"/>
                <w:bCs/>
                <w:color w:val="000000"/>
                <w:kern w:val="0"/>
                <w:szCs w:val="21"/>
                <w:highlight w:val="none"/>
              </w:rPr>
              <w:t>计划开工日期：</w:t>
            </w:r>
            <w:r>
              <w:rPr>
                <w:rFonts w:hint="eastAsia" w:ascii="黑体" w:hAnsi="黑体" w:eastAsia="黑体"/>
                <w:bCs/>
                <w:szCs w:val="21"/>
                <w:highlight w:val="none"/>
              </w:rPr>
              <w:t>2026年7月10日</w:t>
            </w:r>
          </w:p>
          <w:p w14:paraId="01CC82C8">
            <w:pPr>
              <w:adjustRightInd w:val="0"/>
              <w:snapToGrid w:val="0"/>
              <w:spacing w:line="340" w:lineRule="exact"/>
              <w:rPr>
                <w:rFonts w:hint="eastAsia" w:ascii="宋体" w:hAnsi="宋体"/>
                <w:bCs/>
                <w:szCs w:val="21"/>
                <w:highlight w:val="none"/>
              </w:rPr>
            </w:pPr>
            <w:r>
              <w:rPr>
                <w:rFonts w:hint="eastAsia" w:ascii="宋体" w:hAnsi="宋体"/>
                <w:bCs/>
                <w:color w:val="000000"/>
                <w:kern w:val="0"/>
                <w:szCs w:val="21"/>
                <w:highlight w:val="none"/>
              </w:rPr>
              <w:t>计划交工日期：</w:t>
            </w:r>
            <w:r>
              <w:rPr>
                <w:rFonts w:hint="eastAsia" w:ascii="黑体" w:hAnsi="黑体" w:eastAsia="黑体"/>
                <w:bCs/>
                <w:szCs w:val="21"/>
                <w:highlight w:val="none"/>
              </w:rPr>
              <w:t>2026年10月31日</w:t>
            </w:r>
          </w:p>
        </w:tc>
      </w:tr>
      <w:tr w14:paraId="163DA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490" w:type="pct"/>
            <w:vAlign w:val="center"/>
          </w:tcPr>
          <w:p w14:paraId="2FA9DA6E">
            <w:pPr>
              <w:adjustRightInd w:val="0"/>
              <w:snapToGrid w:val="0"/>
              <w:spacing w:line="340" w:lineRule="exact"/>
              <w:jc w:val="center"/>
              <w:rPr>
                <w:rFonts w:hint="eastAsia" w:ascii="宋体" w:hAnsi="宋体"/>
                <w:bCs/>
                <w:szCs w:val="21"/>
                <w:highlight w:val="none"/>
              </w:rPr>
            </w:pPr>
            <w:r>
              <w:rPr>
                <w:rFonts w:ascii="宋体" w:hAnsi="宋体"/>
                <w:bCs/>
                <w:szCs w:val="21"/>
                <w:highlight w:val="none"/>
              </w:rPr>
              <w:t>1.3.3</w:t>
            </w:r>
          </w:p>
        </w:tc>
        <w:tc>
          <w:tcPr>
            <w:tcW w:w="811" w:type="pct"/>
            <w:vAlign w:val="center"/>
          </w:tcPr>
          <w:p w14:paraId="222D67A8">
            <w:pPr>
              <w:adjustRightInd w:val="0"/>
              <w:snapToGrid w:val="0"/>
              <w:spacing w:line="340" w:lineRule="exact"/>
              <w:jc w:val="center"/>
              <w:rPr>
                <w:rFonts w:ascii="Times New Roman" w:hAnsi="Times New Roman"/>
                <w:bCs/>
                <w:szCs w:val="21"/>
                <w:highlight w:val="none"/>
              </w:rPr>
            </w:pPr>
            <w:r>
              <w:rPr>
                <w:rFonts w:ascii="Times New Roman" w:hAnsi="宋体"/>
                <w:bCs/>
                <w:szCs w:val="21"/>
                <w:highlight w:val="none"/>
              </w:rPr>
              <w:t>质量要求</w:t>
            </w:r>
          </w:p>
        </w:tc>
        <w:tc>
          <w:tcPr>
            <w:tcW w:w="3699" w:type="pct"/>
            <w:vAlign w:val="center"/>
          </w:tcPr>
          <w:p w14:paraId="4FCA12BC">
            <w:pPr>
              <w:autoSpaceDE w:val="0"/>
              <w:autoSpaceDN w:val="0"/>
              <w:adjustRightInd w:val="0"/>
              <w:snapToGrid w:val="0"/>
              <w:spacing w:line="340" w:lineRule="exact"/>
              <w:rPr>
                <w:rFonts w:hint="eastAsia" w:ascii="宋体" w:hAnsi="宋体"/>
                <w:bCs/>
                <w:kern w:val="0"/>
                <w:szCs w:val="21"/>
                <w:highlight w:val="none"/>
                <w:lang w:val="zh-CN"/>
              </w:rPr>
            </w:pPr>
            <w:r>
              <w:rPr>
                <w:rFonts w:ascii="宋体" w:hAnsi="宋体"/>
                <w:bCs/>
                <w:szCs w:val="21"/>
                <w:highlight w:val="none"/>
              </w:rPr>
              <w:t>竣工验收的质量评定</w:t>
            </w:r>
            <w:r>
              <w:rPr>
                <w:rFonts w:hint="eastAsia" w:ascii="宋体" w:hAnsi="宋体"/>
                <w:bCs/>
                <w:szCs w:val="21"/>
                <w:highlight w:val="none"/>
              </w:rPr>
              <w:t>：优良</w:t>
            </w:r>
          </w:p>
        </w:tc>
      </w:tr>
      <w:tr w14:paraId="26CFC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490" w:type="pct"/>
            <w:vAlign w:val="center"/>
          </w:tcPr>
          <w:p w14:paraId="55BABEC3">
            <w:pPr>
              <w:adjustRightInd w:val="0"/>
              <w:snapToGrid w:val="0"/>
              <w:spacing w:line="340" w:lineRule="exact"/>
              <w:jc w:val="center"/>
              <w:rPr>
                <w:rFonts w:hint="eastAsia" w:ascii="宋体" w:hAnsi="宋体"/>
                <w:bCs/>
                <w:szCs w:val="21"/>
                <w:highlight w:val="none"/>
              </w:rPr>
            </w:pPr>
            <w:r>
              <w:rPr>
                <w:rFonts w:ascii="宋体" w:hAnsi="宋体"/>
                <w:bCs/>
                <w:szCs w:val="21"/>
                <w:highlight w:val="none"/>
              </w:rPr>
              <w:t>1.3.</w:t>
            </w:r>
            <w:r>
              <w:rPr>
                <w:rFonts w:hint="eastAsia" w:ascii="宋体" w:hAnsi="宋体"/>
                <w:bCs/>
                <w:szCs w:val="21"/>
                <w:highlight w:val="none"/>
              </w:rPr>
              <w:t>4</w:t>
            </w:r>
          </w:p>
        </w:tc>
        <w:tc>
          <w:tcPr>
            <w:tcW w:w="811" w:type="pct"/>
            <w:vAlign w:val="center"/>
          </w:tcPr>
          <w:p w14:paraId="78351AEC">
            <w:pPr>
              <w:adjustRightInd w:val="0"/>
              <w:snapToGrid w:val="0"/>
              <w:spacing w:line="340" w:lineRule="exact"/>
              <w:jc w:val="center"/>
              <w:rPr>
                <w:rFonts w:ascii="Times New Roman" w:hAnsi="Times New Roman"/>
                <w:bCs/>
                <w:szCs w:val="21"/>
                <w:highlight w:val="none"/>
              </w:rPr>
            </w:pPr>
            <w:r>
              <w:rPr>
                <w:rFonts w:hint="eastAsia" w:ascii="Times New Roman" w:hAnsi="宋体"/>
                <w:bCs/>
                <w:szCs w:val="21"/>
                <w:highlight w:val="none"/>
              </w:rPr>
              <w:t>安全目标</w:t>
            </w:r>
          </w:p>
        </w:tc>
        <w:tc>
          <w:tcPr>
            <w:tcW w:w="3699" w:type="pct"/>
            <w:vAlign w:val="center"/>
          </w:tcPr>
          <w:p w14:paraId="2856D901">
            <w:pPr>
              <w:autoSpaceDE w:val="0"/>
              <w:autoSpaceDN w:val="0"/>
              <w:adjustRightInd w:val="0"/>
              <w:snapToGrid w:val="0"/>
              <w:spacing w:line="340" w:lineRule="exact"/>
              <w:rPr>
                <w:rFonts w:hint="eastAsia" w:ascii="宋体" w:hAnsi="宋体"/>
                <w:bCs/>
                <w:kern w:val="0"/>
                <w:szCs w:val="21"/>
                <w:highlight w:val="none"/>
                <w:lang w:val="zh-CN"/>
              </w:rPr>
            </w:pPr>
            <w:r>
              <w:rPr>
                <w:rFonts w:hint="eastAsia" w:ascii="宋体" w:hAnsi="宋体"/>
                <w:bCs/>
                <w:szCs w:val="21"/>
                <w:highlight w:val="none"/>
              </w:rPr>
              <w:t>施工期间不发生一般及以上等级生产安全事故</w:t>
            </w:r>
          </w:p>
        </w:tc>
      </w:tr>
      <w:tr w14:paraId="45018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490" w:type="pct"/>
            <w:vAlign w:val="center"/>
          </w:tcPr>
          <w:p w14:paraId="12C9C205">
            <w:pPr>
              <w:adjustRightInd w:val="0"/>
              <w:snapToGrid w:val="0"/>
              <w:spacing w:line="340" w:lineRule="exact"/>
              <w:jc w:val="center"/>
              <w:rPr>
                <w:rFonts w:hint="eastAsia" w:ascii="宋体" w:hAnsi="宋体"/>
                <w:bCs/>
                <w:szCs w:val="21"/>
                <w:highlight w:val="none"/>
              </w:rPr>
            </w:pPr>
            <w:r>
              <w:rPr>
                <w:rFonts w:hint="eastAsia" w:ascii="宋体" w:hAnsi="宋体"/>
                <w:bCs/>
                <w:szCs w:val="21"/>
                <w:highlight w:val="none"/>
              </w:rPr>
              <w:t>1</w:t>
            </w:r>
            <w:r>
              <w:rPr>
                <w:rFonts w:ascii="宋体" w:hAnsi="宋体"/>
                <w:bCs/>
                <w:szCs w:val="21"/>
                <w:highlight w:val="none"/>
              </w:rPr>
              <w:t>.3.5</w:t>
            </w:r>
          </w:p>
        </w:tc>
        <w:tc>
          <w:tcPr>
            <w:tcW w:w="811" w:type="pct"/>
            <w:vAlign w:val="center"/>
          </w:tcPr>
          <w:p w14:paraId="6124FD1A">
            <w:pPr>
              <w:adjustRightInd w:val="0"/>
              <w:snapToGrid w:val="0"/>
              <w:spacing w:line="340" w:lineRule="exact"/>
              <w:jc w:val="center"/>
              <w:rPr>
                <w:rFonts w:hint="eastAsia" w:ascii="Times New Roman" w:hAnsi="宋体"/>
                <w:bCs/>
                <w:szCs w:val="21"/>
                <w:highlight w:val="none"/>
              </w:rPr>
            </w:pPr>
            <w:r>
              <w:rPr>
                <w:rFonts w:hint="eastAsia" w:ascii="Times New Roman" w:hAnsi="宋体"/>
                <w:bCs/>
                <w:szCs w:val="21"/>
                <w:highlight w:val="none"/>
              </w:rPr>
              <w:t>环保目标</w:t>
            </w:r>
          </w:p>
        </w:tc>
        <w:tc>
          <w:tcPr>
            <w:tcW w:w="3699" w:type="pct"/>
            <w:vAlign w:val="center"/>
          </w:tcPr>
          <w:p w14:paraId="169131F0">
            <w:pPr>
              <w:autoSpaceDE w:val="0"/>
              <w:autoSpaceDN w:val="0"/>
              <w:adjustRightInd w:val="0"/>
              <w:snapToGrid w:val="0"/>
              <w:spacing w:line="340" w:lineRule="exact"/>
              <w:rPr>
                <w:rFonts w:hint="eastAsia" w:ascii="宋体" w:hAnsi="宋体"/>
                <w:bCs/>
                <w:szCs w:val="21"/>
                <w:highlight w:val="none"/>
              </w:rPr>
            </w:pPr>
            <w:r>
              <w:rPr>
                <w:rFonts w:hint="eastAsia" w:ascii="宋体" w:hAnsi="宋体"/>
                <w:bCs/>
                <w:szCs w:val="21"/>
                <w:highlight w:val="none"/>
              </w:rPr>
              <w:t>增加1</w:t>
            </w:r>
            <w:r>
              <w:rPr>
                <w:rFonts w:ascii="宋体" w:hAnsi="宋体"/>
                <w:bCs/>
                <w:szCs w:val="21"/>
                <w:highlight w:val="none"/>
              </w:rPr>
              <w:t>.3.5</w:t>
            </w:r>
            <w:r>
              <w:rPr>
                <w:rFonts w:hint="eastAsia" w:ascii="宋体" w:hAnsi="宋体"/>
                <w:bCs/>
                <w:szCs w:val="21"/>
                <w:highlight w:val="none"/>
              </w:rPr>
              <w:t>项：</w:t>
            </w:r>
          </w:p>
          <w:p w14:paraId="630EACA1">
            <w:pPr>
              <w:autoSpaceDE w:val="0"/>
              <w:autoSpaceDN w:val="0"/>
              <w:adjustRightInd w:val="0"/>
              <w:snapToGrid w:val="0"/>
              <w:spacing w:line="340" w:lineRule="exact"/>
              <w:rPr>
                <w:rFonts w:hint="eastAsia" w:ascii="宋体" w:hAnsi="宋体"/>
                <w:bCs/>
                <w:szCs w:val="21"/>
                <w:highlight w:val="none"/>
              </w:rPr>
            </w:pPr>
            <w:r>
              <w:rPr>
                <w:rFonts w:hint="eastAsia" w:ascii="宋体" w:hAnsi="宋体"/>
                <w:bCs/>
                <w:szCs w:val="21"/>
                <w:highlight w:val="none"/>
              </w:rPr>
              <w:t>环保目标：符合国家、吉林省及环保部门相关规定</w:t>
            </w:r>
          </w:p>
        </w:tc>
      </w:tr>
      <w:tr w14:paraId="63FD1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490" w:type="pct"/>
            <w:vAlign w:val="center"/>
          </w:tcPr>
          <w:p w14:paraId="0CDA0D16">
            <w:pPr>
              <w:adjustRightInd w:val="0"/>
              <w:snapToGrid w:val="0"/>
              <w:spacing w:line="340" w:lineRule="exact"/>
              <w:jc w:val="center"/>
              <w:rPr>
                <w:rFonts w:hint="eastAsia" w:ascii="宋体" w:hAnsi="宋体"/>
                <w:bCs/>
                <w:szCs w:val="21"/>
                <w:highlight w:val="none"/>
              </w:rPr>
            </w:pPr>
            <w:r>
              <w:rPr>
                <w:rFonts w:ascii="宋体" w:hAnsi="宋体"/>
                <w:bCs/>
                <w:szCs w:val="21"/>
                <w:highlight w:val="none"/>
              </w:rPr>
              <w:t>1.4.1</w:t>
            </w:r>
          </w:p>
        </w:tc>
        <w:tc>
          <w:tcPr>
            <w:tcW w:w="811" w:type="pct"/>
            <w:vAlign w:val="center"/>
          </w:tcPr>
          <w:p w14:paraId="2434B3D3">
            <w:pPr>
              <w:adjustRightInd w:val="0"/>
              <w:snapToGrid w:val="0"/>
              <w:spacing w:line="340" w:lineRule="exact"/>
              <w:jc w:val="center"/>
              <w:rPr>
                <w:rFonts w:ascii="Times New Roman" w:hAnsi="Times New Roman"/>
                <w:bCs/>
                <w:szCs w:val="21"/>
                <w:highlight w:val="none"/>
              </w:rPr>
            </w:pPr>
            <w:r>
              <w:rPr>
                <w:rFonts w:ascii="Times New Roman" w:hAnsi="宋体"/>
                <w:bCs/>
                <w:szCs w:val="21"/>
                <w:highlight w:val="none"/>
              </w:rPr>
              <w:t>投标人资质条件、能力和信誉</w:t>
            </w:r>
          </w:p>
        </w:tc>
        <w:tc>
          <w:tcPr>
            <w:tcW w:w="3699" w:type="pct"/>
            <w:vAlign w:val="center"/>
          </w:tcPr>
          <w:p w14:paraId="20AEA788">
            <w:pPr>
              <w:adjustRightInd w:val="0"/>
              <w:snapToGrid w:val="0"/>
              <w:spacing w:line="340" w:lineRule="exact"/>
              <w:jc w:val="left"/>
              <w:rPr>
                <w:rFonts w:hint="eastAsia" w:ascii="宋体" w:hAnsi="宋体"/>
                <w:bCs/>
                <w:kern w:val="0"/>
                <w:szCs w:val="21"/>
                <w:highlight w:val="none"/>
                <w:lang w:val="zh-CN"/>
              </w:rPr>
            </w:pPr>
            <w:r>
              <w:rPr>
                <w:rFonts w:hint="eastAsia" w:ascii="宋体" w:hAnsi="宋体"/>
                <w:bCs/>
                <w:kern w:val="0"/>
                <w:szCs w:val="21"/>
                <w:highlight w:val="none"/>
                <w:lang w:val="zh-CN"/>
              </w:rPr>
              <w:t>资质要求：见附录1</w:t>
            </w:r>
          </w:p>
          <w:p w14:paraId="675DC161">
            <w:pPr>
              <w:adjustRightInd w:val="0"/>
              <w:snapToGrid w:val="0"/>
              <w:spacing w:line="340" w:lineRule="exact"/>
              <w:jc w:val="left"/>
              <w:rPr>
                <w:rFonts w:hint="eastAsia" w:ascii="宋体" w:hAnsi="宋体"/>
                <w:bCs/>
                <w:kern w:val="0"/>
                <w:szCs w:val="21"/>
                <w:highlight w:val="none"/>
                <w:lang w:val="zh-CN"/>
              </w:rPr>
            </w:pPr>
            <w:r>
              <w:rPr>
                <w:rFonts w:hint="eastAsia" w:ascii="宋体" w:hAnsi="宋体"/>
                <w:bCs/>
                <w:kern w:val="0"/>
                <w:szCs w:val="21"/>
                <w:highlight w:val="none"/>
                <w:lang w:val="zh-CN"/>
              </w:rPr>
              <w:t>财务要求：见附录2</w:t>
            </w:r>
          </w:p>
          <w:p w14:paraId="12D09031">
            <w:pPr>
              <w:adjustRightInd w:val="0"/>
              <w:snapToGrid w:val="0"/>
              <w:spacing w:line="340" w:lineRule="exact"/>
              <w:jc w:val="left"/>
              <w:rPr>
                <w:rFonts w:hint="eastAsia" w:ascii="宋体" w:hAnsi="宋体"/>
                <w:bCs/>
                <w:kern w:val="0"/>
                <w:szCs w:val="21"/>
                <w:highlight w:val="none"/>
                <w:lang w:val="zh-CN"/>
              </w:rPr>
            </w:pPr>
            <w:r>
              <w:rPr>
                <w:rFonts w:hint="eastAsia" w:ascii="宋体" w:hAnsi="宋体"/>
                <w:bCs/>
                <w:kern w:val="0"/>
                <w:szCs w:val="21"/>
                <w:highlight w:val="none"/>
                <w:lang w:val="zh-CN"/>
              </w:rPr>
              <w:t>业绩要求：见附录3</w:t>
            </w:r>
          </w:p>
          <w:p w14:paraId="66385521">
            <w:pPr>
              <w:adjustRightInd w:val="0"/>
              <w:snapToGrid w:val="0"/>
              <w:spacing w:line="340" w:lineRule="exact"/>
              <w:jc w:val="left"/>
              <w:rPr>
                <w:rFonts w:hint="eastAsia" w:ascii="宋体" w:hAnsi="宋体"/>
                <w:bCs/>
                <w:kern w:val="0"/>
                <w:szCs w:val="21"/>
                <w:highlight w:val="none"/>
                <w:lang w:val="zh-CN"/>
              </w:rPr>
            </w:pPr>
            <w:r>
              <w:rPr>
                <w:rFonts w:hint="eastAsia" w:ascii="宋体" w:hAnsi="宋体"/>
                <w:bCs/>
                <w:kern w:val="0"/>
                <w:szCs w:val="21"/>
                <w:highlight w:val="none"/>
                <w:lang w:val="zh-CN"/>
              </w:rPr>
              <w:t>信誉要求：见附录4</w:t>
            </w:r>
          </w:p>
          <w:p w14:paraId="1A26CF12">
            <w:pPr>
              <w:adjustRightInd w:val="0"/>
              <w:snapToGrid w:val="0"/>
              <w:spacing w:line="340" w:lineRule="exact"/>
              <w:jc w:val="left"/>
              <w:rPr>
                <w:rFonts w:hint="eastAsia" w:ascii="宋体" w:hAnsi="宋体"/>
                <w:bCs/>
                <w:kern w:val="0"/>
                <w:szCs w:val="21"/>
                <w:highlight w:val="none"/>
                <w:lang w:val="zh-CN"/>
              </w:rPr>
            </w:pPr>
            <w:r>
              <w:rPr>
                <w:rFonts w:hint="eastAsia" w:ascii="宋体" w:hAnsi="宋体"/>
                <w:bCs/>
                <w:kern w:val="0"/>
                <w:szCs w:val="21"/>
                <w:highlight w:val="none"/>
                <w:lang w:val="zh-CN"/>
              </w:rPr>
              <w:t>项目经理和项目总工资格要求：见附录5</w:t>
            </w:r>
          </w:p>
          <w:p w14:paraId="0EB8D62C">
            <w:pPr>
              <w:adjustRightInd w:val="0"/>
              <w:snapToGrid w:val="0"/>
              <w:spacing w:line="340" w:lineRule="exact"/>
              <w:jc w:val="left"/>
              <w:rPr>
                <w:rFonts w:hint="eastAsia" w:ascii="宋体" w:hAnsi="宋体"/>
                <w:bCs/>
                <w:szCs w:val="21"/>
                <w:highlight w:val="none"/>
                <w:lang w:val="zh-CN"/>
              </w:rPr>
            </w:pPr>
            <w:r>
              <w:rPr>
                <w:rFonts w:hint="eastAsia" w:ascii="宋体" w:hAnsi="宋体"/>
                <w:bCs/>
                <w:kern w:val="0"/>
                <w:szCs w:val="21"/>
                <w:highlight w:val="none"/>
                <w:lang w:val="zh-CN"/>
              </w:rPr>
              <w:t>其他要求：无</w:t>
            </w:r>
          </w:p>
        </w:tc>
      </w:tr>
      <w:tr w14:paraId="052EC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490" w:type="pct"/>
            <w:vAlign w:val="center"/>
          </w:tcPr>
          <w:p w14:paraId="7F520F2A">
            <w:pPr>
              <w:adjustRightInd w:val="0"/>
              <w:snapToGrid w:val="0"/>
              <w:spacing w:line="340" w:lineRule="exact"/>
              <w:jc w:val="center"/>
              <w:rPr>
                <w:rFonts w:hint="eastAsia" w:ascii="宋体" w:hAnsi="宋体"/>
                <w:bCs/>
                <w:szCs w:val="21"/>
                <w:highlight w:val="none"/>
              </w:rPr>
            </w:pPr>
            <w:r>
              <w:rPr>
                <w:rFonts w:ascii="宋体" w:hAnsi="宋体"/>
                <w:bCs/>
                <w:szCs w:val="21"/>
                <w:highlight w:val="none"/>
              </w:rPr>
              <w:t>1.4.2</w:t>
            </w:r>
          </w:p>
        </w:tc>
        <w:tc>
          <w:tcPr>
            <w:tcW w:w="811" w:type="pct"/>
            <w:vAlign w:val="center"/>
          </w:tcPr>
          <w:p w14:paraId="0A1CA79C">
            <w:pPr>
              <w:adjustRightInd w:val="0"/>
              <w:snapToGrid w:val="0"/>
              <w:spacing w:line="340" w:lineRule="exact"/>
              <w:jc w:val="center"/>
              <w:rPr>
                <w:rFonts w:ascii="Times New Roman" w:hAnsi="Times New Roman"/>
                <w:bCs/>
                <w:szCs w:val="21"/>
                <w:highlight w:val="none"/>
              </w:rPr>
            </w:pPr>
            <w:r>
              <w:rPr>
                <w:rFonts w:ascii="Times New Roman" w:hAnsi="宋体"/>
                <w:bCs/>
                <w:szCs w:val="21"/>
                <w:highlight w:val="none"/>
              </w:rPr>
              <w:t>是否接受</w:t>
            </w:r>
            <w:r>
              <w:rPr>
                <w:rFonts w:hint="eastAsia" w:ascii="Times New Roman" w:hAnsi="宋体"/>
                <w:bCs/>
                <w:szCs w:val="21"/>
                <w:highlight w:val="none"/>
              </w:rPr>
              <w:br w:type="textWrapping"/>
            </w:r>
            <w:r>
              <w:rPr>
                <w:rFonts w:ascii="Times New Roman" w:hAnsi="宋体"/>
                <w:bCs/>
                <w:szCs w:val="21"/>
                <w:highlight w:val="none"/>
              </w:rPr>
              <w:t>联合体投标</w:t>
            </w:r>
          </w:p>
        </w:tc>
        <w:tc>
          <w:tcPr>
            <w:tcW w:w="3699" w:type="pct"/>
            <w:vAlign w:val="center"/>
          </w:tcPr>
          <w:p w14:paraId="0856CE23">
            <w:pPr>
              <w:adjustRightInd w:val="0"/>
              <w:snapToGrid w:val="0"/>
              <w:spacing w:line="340" w:lineRule="exact"/>
              <w:rPr>
                <w:rFonts w:hint="eastAsia" w:ascii="宋体" w:hAnsi="宋体"/>
                <w:bCs/>
                <w:kern w:val="0"/>
                <w:szCs w:val="21"/>
                <w:highlight w:val="none"/>
              </w:rPr>
            </w:pPr>
            <w:r>
              <w:rPr>
                <w:rFonts w:hint="eastAsia" w:ascii="宋体" w:hAnsi="宋体"/>
                <w:bCs/>
                <w:highlight w:val="none"/>
              </w:rPr>
              <w:t>接受。</w:t>
            </w:r>
            <w:r>
              <w:rPr>
                <w:rFonts w:hint="eastAsia" w:ascii="宋体" w:hAnsi="宋体"/>
                <w:bCs/>
                <w:highlight w:val="none"/>
              </w:rPr>
              <w:t>联合体投标的，应满足下列要求：</w:t>
            </w:r>
            <w:r>
              <w:rPr>
                <w:rFonts w:hint="eastAsia" w:ascii="宋体" w:hAnsi="宋体"/>
                <w:bCs/>
                <w:szCs w:val="21"/>
                <w:highlight w:val="none"/>
              </w:rPr>
              <w:t>见招标文件第一章“招标公告”。</w:t>
            </w:r>
          </w:p>
        </w:tc>
      </w:tr>
      <w:tr w14:paraId="1B49A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490" w:type="pct"/>
            <w:vAlign w:val="center"/>
          </w:tcPr>
          <w:p w14:paraId="6F6C69D7">
            <w:pPr>
              <w:adjustRightInd w:val="0"/>
              <w:snapToGrid w:val="0"/>
              <w:spacing w:line="340" w:lineRule="exact"/>
              <w:jc w:val="center"/>
              <w:rPr>
                <w:rFonts w:hint="eastAsia" w:ascii="宋体" w:hAnsi="宋体"/>
                <w:bCs/>
                <w:szCs w:val="21"/>
                <w:highlight w:val="none"/>
              </w:rPr>
            </w:pPr>
            <w:r>
              <w:rPr>
                <w:rFonts w:ascii="宋体" w:hAnsi="宋体"/>
                <w:bCs/>
                <w:szCs w:val="21"/>
                <w:highlight w:val="none"/>
              </w:rPr>
              <w:t>1.4.3</w:t>
            </w:r>
          </w:p>
        </w:tc>
        <w:tc>
          <w:tcPr>
            <w:tcW w:w="811" w:type="pct"/>
            <w:vAlign w:val="center"/>
          </w:tcPr>
          <w:p w14:paraId="2D254FE6">
            <w:pPr>
              <w:adjustRightInd w:val="0"/>
              <w:snapToGrid w:val="0"/>
              <w:spacing w:line="340" w:lineRule="exact"/>
              <w:jc w:val="center"/>
              <w:rPr>
                <w:rFonts w:hint="eastAsia" w:ascii="Times New Roman" w:hAnsi="宋体"/>
                <w:bCs/>
                <w:kern w:val="0"/>
                <w:szCs w:val="21"/>
                <w:highlight w:val="none"/>
                <w:lang w:val="zh-CN"/>
              </w:rPr>
            </w:pPr>
            <w:r>
              <w:rPr>
                <w:rFonts w:ascii="Times New Roman" w:hAnsi="宋体"/>
                <w:bCs/>
                <w:kern w:val="0"/>
                <w:szCs w:val="21"/>
                <w:highlight w:val="none"/>
                <w:lang w:val="zh-CN"/>
              </w:rPr>
              <w:t>投标人不得</w:t>
            </w:r>
          </w:p>
          <w:p w14:paraId="0B76E886">
            <w:pPr>
              <w:adjustRightInd w:val="0"/>
              <w:snapToGrid w:val="0"/>
              <w:spacing w:line="340" w:lineRule="exact"/>
              <w:jc w:val="center"/>
              <w:rPr>
                <w:rFonts w:hint="eastAsia" w:ascii="Times New Roman" w:hAnsi="宋体"/>
                <w:bCs/>
                <w:kern w:val="0"/>
                <w:szCs w:val="21"/>
                <w:highlight w:val="none"/>
                <w:lang w:val="zh-CN"/>
              </w:rPr>
            </w:pPr>
            <w:r>
              <w:rPr>
                <w:rFonts w:ascii="Times New Roman" w:hAnsi="宋体"/>
                <w:bCs/>
                <w:kern w:val="0"/>
                <w:szCs w:val="21"/>
                <w:highlight w:val="none"/>
                <w:lang w:val="zh-CN"/>
              </w:rPr>
              <w:t>存在的</w:t>
            </w:r>
            <w:r>
              <w:rPr>
                <w:rFonts w:hint="eastAsia" w:ascii="Times New Roman" w:hAnsi="宋体"/>
                <w:bCs/>
                <w:kern w:val="0"/>
                <w:szCs w:val="21"/>
                <w:highlight w:val="none"/>
                <w:lang w:val="zh-CN"/>
              </w:rPr>
              <w:t>其他</w:t>
            </w:r>
          </w:p>
          <w:p w14:paraId="6BC31878">
            <w:pPr>
              <w:adjustRightInd w:val="0"/>
              <w:snapToGrid w:val="0"/>
              <w:spacing w:line="340" w:lineRule="exact"/>
              <w:jc w:val="center"/>
              <w:rPr>
                <w:rFonts w:ascii="Times New Roman" w:hAnsi="Times New Roman"/>
                <w:bCs/>
                <w:szCs w:val="21"/>
                <w:highlight w:val="none"/>
              </w:rPr>
            </w:pPr>
            <w:r>
              <w:rPr>
                <w:rFonts w:hint="eastAsia" w:ascii="Times New Roman" w:hAnsi="宋体"/>
                <w:bCs/>
                <w:kern w:val="0"/>
                <w:szCs w:val="21"/>
                <w:highlight w:val="none"/>
                <w:lang w:val="zh-CN"/>
              </w:rPr>
              <w:t>关联情况</w:t>
            </w:r>
          </w:p>
        </w:tc>
        <w:tc>
          <w:tcPr>
            <w:tcW w:w="3699" w:type="pct"/>
            <w:vAlign w:val="center"/>
          </w:tcPr>
          <w:p w14:paraId="368EB1D9">
            <w:pPr>
              <w:adjustRightInd w:val="0"/>
              <w:snapToGrid w:val="0"/>
              <w:spacing w:line="340" w:lineRule="exact"/>
              <w:ind w:firstLine="210" w:firstLineChars="100"/>
              <w:rPr>
                <w:rFonts w:hint="eastAsia" w:ascii="宋体" w:hAnsi="宋体"/>
                <w:bCs/>
                <w:kern w:val="0"/>
                <w:szCs w:val="21"/>
                <w:highlight w:val="none"/>
                <w:lang w:val="zh-CN"/>
              </w:rPr>
            </w:pPr>
            <w:r>
              <w:rPr>
                <w:rFonts w:hint="eastAsia" w:ascii="宋体" w:hAnsi="宋体"/>
                <w:bCs/>
                <w:kern w:val="0"/>
                <w:szCs w:val="21"/>
                <w:highlight w:val="none"/>
                <w:lang w:val="zh-CN"/>
              </w:rPr>
              <w:t>/</w:t>
            </w:r>
          </w:p>
        </w:tc>
      </w:tr>
      <w:tr w14:paraId="586B2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490" w:type="pct"/>
            <w:vAlign w:val="center"/>
          </w:tcPr>
          <w:p w14:paraId="74AD72C2">
            <w:pPr>
              <w:adjustRightInd w:val="0"/>
              <w:snapToGrid w:val="0"/>
              <w:spacing w:line="340" w:lineRule="exact"/>
              <w:jc w:val="center"/>
              <w:rPr>
                <w:rFonts w:hint="eastAsia" w:ascii="宋体" w:hAnsi="宋体"/>
                <w:bCs/>
                <w:szCs w:val="21"/>
                <w:highlight w:val="none"/>
              </w:rPr>
            </w:pPr>
            <w:r>
              <w:rPr>
                <w:rFonts w:ascii="宋体" w:hAnsi="宋体"/>
                <w:bCs/>
                <w:szCs w:val="21"/>
                <w:highlight w:val="none"/>
              </w:rPr>
              <w:t>1.4.4</w:t>
            </w:r>
          </w:p>
        </w:tc>
        <w:tc>
          <w:tcPr>
            <w:tcW w:w="811" w:type="pct"/>
            <w:vAlign w:val="center"/>
          </w:tcPr>
          <w:p w14:paraId="3D186334">
            <w:pPr>
              <w:adjustRightInd w:val="0"/>
              <w:snapToGrid w:val="0"/>
              <w:spacing w:line="340" w:lineRule="exact"/>
              <w:jc w:val="center"/>
              <w:rPr>
                <w:bCs/>
                <w:szCs w:val="21"/>
                <w:highlight w:val="none"/>
              </w:rPr>
            </w:pPr>
            <w:r>
              <w:rPr>
                <w:rFonts w:hint="eastAsia"/>
                <w:bCs/>
                <w:szCs w:val="21"/>
                <w:highlight w:val="none"/>
              </w:rPr>
              <w:t>投标人不得存在的其他不良状况或不良信用</w:t>
            </w:r>
          </w:p>
        </w:tc>
        <w:tc>
          <w:tcPr>
            <w:tcW w:w="3699" w:type="pct"/>
            <w:vAlign w:val="center"/>
          </w:tcPr>
          <w:p w14:paraId="6BA29CED">
            <w:pPr>
              <w:adjustRightInd w:val="0"/>
              <w:snapToGrid w:val="0"/>
              <w:spacing w:line="340" w:lineRule="exact"/>
              <w:ind w:firstLine="210" w:firstLineChars="100"/>
              <w:rPr>
                <w:rFonts w:hint="eastAsia" w:ascii="宋体" w:hAnsi="宋体"/>
                <w:bCs/>
                <w:kern w:val="0"/>
                <w:szCs w:val="21"/>
                <w:highlight w:val="none"/>
              </w:rPr>
            </w:pPr>
            <w:r>
              <w:rPr>
                <w:rFonts w:hint="eastAsia" w:ascii="宋体" w:hAnsi="宋体"/>
                <w:bCs/>
                <w:kern w:val="0"/>
                <w:szCs w:val="21"/>
                <w:highlight w:val="none"/>
                <w:lang w:val="zh-CN"/>
              </w:rPr>
              <w:t>/</w:t>
            </w:r>
          </w:p>
        </w:tc>
      </w:tr>
      <w:tr w14:paraId="602BB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490" w:type="pct"/>
            <w:vAlign w:val="center"/>
          </w:tcPr>
          <w:p w14:paraId="4CB5F375">
            <w:pPr>
              <w:adjustRightInd w:val="0"/>
              <w:snapToGrid w:val="0"/>
              <w:spacing w:line="340" w:lineRule="exact"/>
              <w:jc w:val="center"/>
              <w:rPr>
                <w:rFonts w:hint="eastAsia" w:ascii="宋体" w:hAnsi="宋体"/>
                <w:bCs/>
                <w:szCs w:val="21"/>
                <w:highlight w:val="none"/>
              </w:rPr>
            </w:pPr>
            <w:r>
              <w:rPr>
                <w:rFonts w:hint="eastAsia" w:ascii="宋体" w:hAnsi="宋体" w:cs="宋体"/>
                <w:bCs/>
                <w:szCs w:val="21"/>
                <w:highlight w:val="none"/>
              </w:rPr>
              <w:t>1.4.4（6）</w:t>
            </w:r>
          </w:p>
        </w:tc>
        <w:tc>
          <w:tcPr>
            <w:tcW w:w="811" w:type="pct"/>
            <w:vAlign w:val="center"/>
          </w:tcPr>
          <w:p w14:paraId="7B49A990">
            <w:pPr>
              <w:adjustRightInd w:val="0"/>
              <w:snapToGrid w:val="0"/>
              <w:spacing w:line="340" w:lineRule="exact"/>
              <w:jc w:val="center"/>
              <w:rPr>
                <w:rFonts w:hint="eastAsia" w:ascii="宋体" w:hAnsi="宋体"/>
                <w:bCs/>
                <w:szCs w:val="21"/>
                <w:highlight w:val="none"/>
              </w:rPr>
            </w:pPr>
            <w:r>
              <w:rPr>
                <w:rFonts w:hint="eastAsia" w:ascii="宋体" w:hAnsi="宋体"/>
                <w:bCs/>
                <w:color w:val="000000"/>
                <w:szCs w:val="21"/>
                <w:highlight w:val="none"/>
              </w:rPr>
              <w:t>行贿犯罪行为</w:t>
            </w:r>
          </w:p>
        </w:tc>
        <w:tc>
          <w:tcPr>
            <w:tcW w:w="3699" w:type="pct"/>
            <w:vAlign w:val="center"/>
          </w:tcPr>
          <w:p w14:paraId="53FB0640">
            <w:pPr>
              <w:adjustRightInd w:val="0"/>
              <w:snapToGrid w:val="0"/>
              <w:spacing w:line="340" w:lineRule="exact"/>
              <w:rPr>
                <w:rFonts w:hint="eastAsia" w:ascii="宋体" w:hAnsi="宋体"/>
                <w:bCs/>
                <w:szCs w:val="21"/>
                <w:highlight w:val="none"/>
              </w:rPr>
            </w:pPr>
            <w:r>
              <w:rPr>
                <w:rFonts w:hint="eastAsia" w:ascii="宋体" w:hAnsi="宋体"/>
                <w:bCs/>
                <w:color w:val="000000"/>
                <w:szCs w:val="21"/>
                <w:highlight w:val="none"/>
              </w:rPr>
              <w:t>本目细化为：投标人或其法定代表人、拟委任的项目经理在近三年内有行贿犯罪行为的；</w:t>
            </w:r>
          </w:p>
        </w:tc>
      </w:tr>
      <w:tr w14:paraId="22332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490" w:type="pct"/>
            <w:vAlign w:val="center"/>
          </w:tcPr>
          <w:p w14:paraId="085A1ACD">
            <w:pPr>
              <w:adjustRightInd w:val="0"/>
              <w:snapToGrid w:val="0"/>
              <w:spacing w:line="340" w:lineRule="exact"/>
              <w:jc w:val="center"/>
              <w:rPr>
                <w:rFonts w:hint="eastAsia" w:ascii="宋体" w:hAnsi="宋体"/>
                <w:bCs/>
                <w:szCs w:val="21"/>
                <w:highlight w:val="none"/>
              </w:rPr>
            </w:pPr>
            <w:r>
              <w:rPr>
                <w:rFonts w:hint="eastAsia" w:ascii="宋体" w:hAnsi="宋体" w:cs="宋体"/>
                <w:bCs/>
                <w:szCs w:val="21"/>
                <w:highlight w:val="none"/>
              </w:rPr>
              <w:t>1</w:t>
            </w:r>
            <w:r>
              <w:rPr>
                <w:rFonts w:ascii="宋体" w:hAnsi="宋体" w:cs="宋体"/>
                <w:bCs/>
                <w:szCs w:val="21"/>
                <w:highlight w:val="none"/>
              </w:rPr>
              <w:t>.4.5</w:t>
            </w:r>
          </w:p>
        </w:tc>
        <w:tc>
          <w:tcPr>
            <w:tcW w:w="811" w:type="pct"/>
            <w:vAlign w:val="center"/>
          </w:tcPr>
          <w:p w14:paraId="03C2E78B">
            <w:pPr>
              <w:adjustRightInd w:val="0"/>
              <w:snapToGrid w:val="0"/>
              <w:spacing w:line="340" w:lineRule="exact"/>
              <w:jc w:val="center"/>
              <w:rPr>
                <w:rFonts w:hint="eastAsia" w:ascii="宋体" w:hAnsi="宋体"/>
                <w:bCs/>
                <w:szCs w:val="21"/>
                <w:highlight w:val="none"/>
              </w:rPr>
            </w:pPr>
            <w:r>
              <w:rPr>
                <w:rFonts w:ascii="宋体" w:hAnsi="宋体"/>
                <w:bCs/>
                <w:color w:val="000000"/>
                <w:szCs w:val="21"/>
                <w:highlight w:val="none"/>
              </w:rPr>
              <w:t>公路工程施工资质企业名录</w:t>
            </w:r>
          </w:p>
        </w:tc>
        <w:tc>
          <w:tcPr>
            <w:tcW w:w="3699" w:type="pct"/>
            <w:vAlign w:val="center"/>
          </w:tcPr>
          <w:p w14:paraId="765BF1B0">
            <w:pPr>
              <w:adjustRightInd w:val="0"/>
              <w:snapToGrid w:val="0"/>
              <w:spacing w:line="340" w:lineRule="exact"/>
              <w:rPr>
                <w:rFonts w:hint="eastAsia" w:ascii="宋体" w:hAnsi="宋体"/>
                <w:bCs/>
                <w:szCs w:val="21"/>
                <w:highlight w:val="none"/>
              </w:rPr>
            </w:pPr>
            <w:r>
              <w:rPr>
                <w:rFonts w:hint="eastAsia" w:ascii="黑体" w:hAnsi="黑体" w:eastAsia="黑体"/>
                <w:bCs/>
                <w:szCs w:val="21"/>
                <w:highlight w:val="none"/>
              </w:rPr>
              <w:t>YB26YH03、YB26YH06、 YB26YH07标段、YB26YH08标段</w:t>
            </w:r>
            <w:r>
              <w:rPr>
                <w:rFonts w:hint="eastAsia" w:ascii="宋体" w:hAnsi="宋体"/>
                <w:bCs/>
                <w:szCs w:val="21"/>
                <w:highlight w:val="none"/>
              </w:rPr>
              <w:t>：</w:t>
            </w:r>
            <w:r>
              <w:rPr>
                <w:rFonts w:hint="eastAsia" w:ascii="宋体" w:hAnsi="宋体"/>
                <w:bCs/>
                <w:szCs w:val="21"/>
                <w:highlight w:val="none"/>
              </w:rPr>
              <w:t>不适用</w:t>
            </w:r>
          </w:p>
          <w:p w14:paraId="67397465">
            <w:pPr>
              <w:adjustRightInd w:val="0"/>
              <w:snapToGrid w:val="0"/>
              <w:spacing w:line="340" w:lineRule="exact"/>
              <w:rPr>
                <w:rFonts w:hint="eastAsia" w:ascii="宋体" w:hAnsi="宋体"/>
                <w:bCs/>
                <w:szCs w:val="21"/>
                <w:highlight w:val="none"/>
              </w:rPr>
            </w:pPr>
            <w:r>
              <w:rPr>
                <w:rFonts w:hint="eastAsia" w:ascii="黑体" w:hAnsi="黑体" w:eastAsia="黑体"/>
                <w:bCs/>
                <w:szCs w:val="21"/>
                <w:highlight w:val="none"/>
              </w:rPr>
              <w:t>YB26YH04、YB26YH05标段</w:t>
            </w:r>
            <w:r>
              <w:rPr>
                <w:rFonts w:hint="eastAsia" w:ascii="宋体" w:hAnsi="宋体"/>
                <w:bCs/>
                <w:szCs w:val="21"/>
                <w:highlight w:val="none"/>
              </w:rPr>
              <w:t>：</w:t>
            </w:r>
            <w:r>
              <w:rPr>
                <w:rFonts w:hint="eastAsia" w:ascii="宋体" w:hAnsi="宋体"/>
                <w:bCs/>
                <w:szCs w:val="21"/>
                <w:highlight w:val="none"/>
                <w:lang w:bidi="en-US"/>
              </w:rPr>
              <w:t>仅适用于</w:t>
            </w:r>
            <w:r>
              <w:rPr>
                <w:rFonts w:hint="eastAsia" w:ascii="宋体" w:hAnsi="宋体"/>
                <w:bCs/>
                <w:szCs w:val="21"/>
                <w:highlight w:val="none"/>
              </w:rPr>
              <w:t>公路机电工程分项资质</w:t>
            </w:r>
          </w:p>
        </w:tc>
      </w:tr>
      <w:tr w14:paraId="4E5A4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490" w:type="pct"/>
            <w:vMerge w:val="restart"/>
            <w:vAlign w:val="center"/>
          </w:tcPr>
          <w:p w14:paraId="2165801A">
            <w:pPr>
              <w:adjustRightInd w:val="0"/>
              <w:snapToGrid w:val="0"/>
              <w:spacing w:line="340" w:lineRule="exact"/>
              <w:jc w:val="center"/>
              <w:rPr>
                <w:rFonts w:hint="eastAsia" w:ascii="宋体" w:hAnsi="宋体"/>
                <w:bCs/>
                <w:szCs w:val="21"/>
                <w:highlight w:val="none"/>
              </w:rPr>
            </w:pPr>
            <w:r>
              <w:rPr>
                <w:rFonts w:ascii="宋体" w:hAnsi="宋体"/>
                <w:bCs/>
                <w:szCs w:val="21"/>
                <w:highlight w:val="none"/>
              </w:rPr>
              <w:t>1.10.2</w:t>
            </w:r>
          </w:p>
        </w:tc>
        <w:tc>
          <w:tcPr>
            <w:tcW w:w="811" w:type="pct"/>
            <w:vMerge w:val="restart"/>
            <w:vAlign w:val="center"/>
          </w:tcPr>
          <w:p w14:paraId="4DF0213D">
            <w:pPr>
              <w:adjustRightInd w:val="0"/>
              <w:snapToGrid w:val="0"/>
              <w:spacing w:line="340" w:lineRule="exact"/>
              <w:jc w:val="center"/>
              <w:rPr>
                <w:rFonts w:hint="eastAsia" w:ascii="宋体" w:hAnsi="宋体"/>
                <w:bCs/>
                <w:szCs w:val="21"/>
                <w:highlight w:val="none"/>
              </w:rPr>
            </w:pPr>
            <w:r>
              <w:rPr>
                <w:rFonts w:ascii="宋体" w:hAnsi="宋体"/>
                <w:bCs/>
                <w:szCs w:val="21"/>
                <w:highlight w:val="none"/>
              </w:rPr>
              <w:t>投标人</w:t>
            </w:r>
            <w:r>
              <w:rPr>
                <w:rFonts w:hint="eastAsia" w:ascii="宋体" w:hAnsi="宋体"/>
                <w:bCs/>
                <w:szCs w:val="21"/>
                <w:highlight w:val="none"/>
              </w:rPr>
              <w:t>在投标预备会提出问题</w:t>
            </w:r>
          </w:p>
        </w:tc>
        <w:tc>
          <w:tcPr>
            <w:tcW w:w="3699" w:type="pct"/>
            <w:vAlign w:val="center"/>
          </w:tcPr>
          <w:p w14:paraId="1037F90E">
            <w:pPr>
              <w:adjustRightInd w:val="0"/>
              <w:snapToGrid w:val="0"/>
              <w:spacing w:line="340" w:lineRule="exact"/>
              <w:rPr>
                <w:rFonts w:hint="eastAsia" w:ascii="宋体" w:hAnsi="宋体"/>
                <w:bCs/>
                <w:szCs w:val="21"/>
                <w:highlight w:val="none"/>
              </w:rPr>
            </w:pPr>
            <w:r>
              <w:rPr>
                <w:rFonts w:hint="eastAsia" w:ascii="宋体" w:hAnsi="宋体"/>
                <w:bCs/>
                <w:szCs w:val="21"/>
                <w:highlight w:val="none"/>
              </w:rPr>
              <w:t>时间：/</w:t>
            </w:r>
          </w:p>
        </w:tc>
      </w:tr>
      <w:tr w14:paraId="3D264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490" w:type="pct"/>
            <w:vMerge w:val="continue"/>
            <w:vAlign w:val="center"/>
          </w:tcPr>
          <w:p w14:paraId="77F0DEB7">
            <w:pPr>
              <w:adjustRightInd w:val="0"/>
              <w:snapToGrid w:val="0"/>
              <w:spacing w:line="340" w:lineRule="exact"/>
              <w:jc w:val="center"/>
              <w:rPr>
                <w:rFonts w:hint="eastAsia" w:ascii="宋体" w:hAnsi="宋体"/>
                <w:bCs/>
                <w:szCs w:val="21"/>
                <w:highlight w:val="none"/>
              </w:rPr>
            </w:pPr>
          </w:p>
        </w:tc>
        <w:tc>
          <w:tcPr>
            <w:tcW w:w="811" w:type="pct"/>
            <w:vMerge w:val="continue"/>
            <w:vAlign w:val="center"/>
          </w:tcPr>
          <w:p w14:paraId="6E9CFD53">
            <w:pPr>
              <w:adjustRightInd w:val="0"/>
              <w:snapToGrid w:val="0"/>
              <w:spacing w:line="340" w:lineRule="exact"/>
              <w:jc w:val="center"/>
              <w:rPr>
                <w:rFonts w:hint="eastAsia" w:ascii="宋体" w:hAnsi="宋体"/>
                <w:bCs/>
                <w:szCs w:val="21"/>
                <w:highlight w:val="none"/>
              </w:rPr>
            </w:pPr>
          </w:p>
        </w:tc>
        <w:tc>
          <w:tcPr>
            <w:tcW w:w="3699" w:type="pct"/>
            <w:vAlign w:val="center"/>
          </w:tcPr>
          <w:p w14:paraId="17AF5A42">
            <w:pPr>
              <w:adjustRightInd w:val="0"/>
              <w:snapToGrid w:val="0"/>
              <w:spacing w:line="340" w:lineRule="exact"/>
              <w:rPr>
                <w:rFonts w:hint="eastAsia" w:ascii="宋体" w:hAnsi="宋体"/>
                <w:bCs/>
                <w:szCs w:val="21"/>
                <w:highlight w:val="none"/>
              </w:rPr>
            </w:pPr>
            <w:r>
              <w:rPr>
                <w:rFonts w:hint="eastAsia" w:ascii="宋体" w:hAnsi="宋体"/>
                <w:bCs/>
                <w:szCs w:val="21"/>
                <w:highlight w:val="none"/>
              </w:rPr>
              <w:t>形式：/</w:t>
            </w:r>
          </w:p>
        </w:tc>
      </w:tr>
      <w:tr w14:paraId="52968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490" w:type="pct"/>
            <w:vAlign w:val="center"/>
          </w:tcPr>
          <w:p w14:paraId="00AEBAE3">
            <w:pPr>
              <w:adjustRightInd w:val="0"/>
              <w:snapToGrid w:val="0"/>
              <w:spacing w:line="340" w:lineRule="exact"/>
              <w:jc w:val="center"/>
              <w:rPr>
                <w:rFonts w:hint="eastAsia" w:ascii="宋体" w:hAnsi="宋体"/>
                <w:bCs/>
                <w:szCs w:val="21"/>
                <w:highlight w:val="none"/>
              </w:rPr>
            </w:pPr>
            <w:r>
              <w:rPr>
                <w:rFonts w:ascii="宋体" w:hAnsi="宋体"/>
                <w:bCs/>
                <w:szCs w:val="21"/>
                <w:highlight w:val="none"/>
              </w:rPr>
              <w:t>1</w:t>
            </w:r>
            <w:r>
              <w:rPr>
                <w:rFonts w:hint="eastAsia" w:ascii="宋体" w:hAnsi="宋体"/>
                <w:bCs/>
                <w:szCs w:val="21"/>
                <w:highlight w:val="none"/>
              </w:rPr>
              <w:t>.</w:t>
            </w:r>
            <w:r>
              <w:rPr>
                <w:rFonts w:ascii="宋体" w:hAnsi="宋体"/>
                <w:bCs/>
                <w:szCs w:val="21"/>
                <w:highlight w:val="none"/>
              </w:rPr>
              <w:t>11</w:t>
            </w:r>
            <w:r>
              <w:rPr>
                <w:rFonts w:hint="eastAsia" w:ascii="宋体" w:hAnsi="宋体"/>
                <w:bCs/>
                <w:szCs w:val="21"/>
                <w:highlight w:val="none"/>
              </w:rPr>
              <w:t>.1</w:t>
            </w:r>
          </w:p>
        </w:tc>
        <w:tc>
          <w:tcPr>
            <w:tcW w:w="811" w:type="pct"/>
            <w:vAlign w:val="center"/>
          </w:tcPr>
          <w:p w14:paraId="4A443EB3">
            <w:pPr>
              <w:adjustRightInd w:val="0"/>
              <w:snapToGrid w:val="0"/>
              <w:spacing w:line="340" w:lineRule="exact"/>
              <w:jc w:val="center"/>
              <w:rPr>
                <w:rFonts w:hint="eastAsia" w:ascii="宋体" w:hAnsi="宋体"/>
                <w:bCs/>
                <w:szCs w:val="21"/>
                <w:highlight w:val="none"/>
              </w:rPr>
            </w:pPr>
            <w:r>
              <w:rPr>
                <w:rFonts w:hint="eastAsia" w:ascii="宋体" w:hAnsi="宋体" w:cs="宋体"/>
                <w:bCs/>
                <w:szCs w:val="21"/>
                <w:highlight w:val="none"/>
              </w:rPr>
              <w:t>分包</w:t>
            </w:r>
          </w:p>
        </w:tc>
        <w:tc>
          <w:tcPr>
            <w:tcW w:w="3699" w:type="pct"/>
            <w:vAlign w:val="center"/>
          </w:tcPr>
          <w:p w14:paraId="372647A0">
            <w:pPr>
              <w:autoSpaceDE w:val="0"/>
              <w:autoSpaceDN w:val="0"/>
              <w:adjustRightInd w:val="0"/>
              <w:spacing w:line="360" w:lineRule="exact"/>
              <w:rPr>
                <w:rFonts w:hint="eastAsia" w:ascii="宋体" w:hAnsi="宋体"/>
                <w:bCs/>
                <w:kern w:val="0"/>
                <w:szCs w:val="21"/>
                <w:highlight w:val="none"/>
              </w:rPr>
            </w:pPr>
            <w:r>
              <w:rPr>
                <w:rFonts w:hint="eastAsia" w:ascii="宋体" w:hAnsi="宋体"/>
                <w:bCs/>
                <w:kern w:val="0"/>
                <w:szCs w:val="21"/>
                <w:highlight w:val="none"/>
                <w:lang w:val="zh-CN"/>
              </w:rPr>
              <w:t>允许分包</w:t>
            </w:r>
            <w:r>
              <w:rPr>
                <w:rFonts w:hint="eastAsia" w:ascii="宋体" w:hAnsi="宋体"/>
                <w:bCs/>
                <w:kern w:val="0"/>
                <w:szCs w:val="21"/>
                <w:highlight w:val="none"/>
              </w:rPr>
              <w:t>，</w:t>
            </w:r>
            <w:r>
              <w:rPr>
                <w:rFonts w:ascii="宋体" w:hAnsi="宋体"/>
                <w:bCs/>
                <w:kern w:val="0"/>
                <w:szCs w:val="21"/>
                <w:highlight w:val="none"/>
              </w:rPr>
              <w:t>按照现行有关法律、行政法规、部门规章的规定执行。</w:t>
            </w:r>
          </w:p>
        </w:tc>
      </w:tr>
      <w:tr w14:paraId="36C4F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878" w:hRule="atLeast"/>
          <w:jc w:val="center"/>
        </w:trPr>
        <w:tc>
          <w:tcPr>
            <w:tcW w:w="490" w:type="pct"/>
            <w:vAlign w:val="center"/>
          </w:tcPr>
          <w:p w14:paraId="73EAC31A">
            <w:pPr>
              <w:adjustRightInd w:val="0"/>
              <w:snapToGrid w:val="0"/>
              <w:spacing w:line="340" w:lineRule="exact"/>
              <w:jc w:val="center"/>
              <w:rPr>
                <w:rFonts w:hint="eastAsia" w:ascii="宋体" w:hAnsi="宋体"/>
                <w:bCs/>
                <w:szCs w:val="21"/>
                <w:highlight w:val="none"/>
              </w:rPr>
            </w:pPr>
            <w:r>
              <w:rPr>
                <w:rFonts w:ascii="宋体" w:hAnsi="宋体"/>
                <w:bCs/>
                <w:szCs w:val="21"/>
                <w:highlight w:val="none"/>
              </w:rPr>
              <w:t>2.1</w:t>
            </w:r>
          </w:p>
        </w:tc>
        <w:tc>
          <w:tcPr>
            <w:tcW w:w="811" w:type="pct"/>
            <w:vAlign w:val="center"/>
          </w:tcPr>
          <w:p w14:paraId="104BBB61">
            <w:pPr>
              <w:adjustRightInd w:val="0"/>
              <w:snapToGrid w:val="0"/>
              <w:spacing w:line="340" w:lineRule="exact"/>
              <w:jc w:val="center"/>
              <w:rPr>
                <w:rFonts w:ascii="Times New Roman" w:hAnsi="Times New Roman"/>
                <w:bCs/>
                <w:szCs w:val="21"/>
                <w:highlight w:val="none"/>
              </w:rPr>
            </w:pPr>
            <w:r>
              <w:rPr>
                <w:rFonts w:ascii="Times New Roman" w:hAnsi="宋体"/>
                <w:bCs/>
                <w:szCs w:val="21"/>
                <w:highlight w:val="none"/>
              </w:rPr>
              <w:t>构成招标文件的其他材料</w:t>
            </w:r>
          </w:p>
        </w:tc>
        <w:tc>
          <w:tcPr>
            <w:tcW w:w="3699" w:type="pct"/>
          </w:tcPr>
          <w:p w14:paraId="59C0CC79">
            <w:pPr>
              <w:spacing w:line="340" w:lineRule="exact"/>
              <w:rPr>
                <w:rFonts w:hint="eastAsia" w:ascii="宋体" w:hAnsi="宋体"/>
                <w:bCs/>
                <w:szCs w:val="21"/>
                <w:highlight w:val="none"/>
              </w:rPr>
            </w:pPr>
            <w:r>
              <w:rPr>
                <w:rFonts w:hint="eastAsia" w:ascii="宋体" w:hAnsi="宋体"/>
                <w:bCs/>
                <w:szCs w:val="21"/>
                <w:highlight w:val="none"/>
              </w:rPr>
              <w:t>施工图设计图纸（PDF 版）列在网盘（请注意区分大小写）中，请投标人自行下载。</w:t>
            </w:r>
          </w:p>
          <w:p w14:paraId="2FF6AD91">
            <w:pPr>
              <w:adjustRightInd w:val="0"/>
              <w:snapToGrid w:val="0"/>
              <w:spacing w:line="320" w:lineRule="exact"/>
              <w:ind w:firstLine="420" w:firstLineChars="200"/>
              <w:jc w:val="left"/>
              <w:rPr>
                <w:rFonts w:hint="eastAsia" w:ascii="黑体" w:hAnsi="黑体" w:eastAsia="黑体"/>
                <w:bCs/>
                <w:iCs/>
                <w:szCs w:val="21"/>
                <w:highlight w:val="none"/>
              </w:rPr>
            </w:pPr>
            <w:bookmarkStart w:id="79" w:name="OLE_LINK15"/>
            <w:r>
              <w:rPr>
                <w:rFonts w:ascii="黑体" w:hAnsi="黑体" w:eastAsia="黑体"/>
                <w:bCs/>
                <w:iCs/>
                <w:szCs w:val="21"/>
                <w:highlight w:val="none"/>
              </w:rPr>
              <w:t>延边州2026年G334国道龙东公路及延边州2026年S304省道松露公路路面提质工程</w:t>
            </w:r>
            <w:bookmarkEnd w:id="79"/>
            <w:r>
              <w:rPr>
                <w:rFonts w:hint="eastAsia" w:ascii="黑体" w:hAnsi="黑体" w:eastAsia="黑体"/>
                <w:bCs/>
                <w:iCs/>
                <w:szCs w:val="21"/>
                <w:highlight w:val="none"/>
              </w:rPr>
              <w:t>：</w:t>
            </w:r>
          </w:p>
          <w:p w14:paraId="34D3E1FA">
            <w:pPr>
              <w:adjustRightInd w:val="0"/>
              <w:snapToGrid w:val="0"/>
              <w:spacing w:line="320" w:lineRule="exact"/>
              <w:ind w:firstLine="420" w:firstLineChars="200"/>
              <w:rPr>
                <w:rFonts w:hint="eastAsia" w:ascii="黑体" w:hAnsi="黑体" w:eastAsia="黑体"/>
                <w:bCs/>
                <w:iCs/>
                <w:szCs w:val="21"/>
                <w:highlight w:val="none"/>
              </w:rPr>
            </w:pPr>
            <w:r>
              <w:rPr>
                <w:rFonts w:hint="eastAsia" w:ascii="黑体" w:hAnsi="黑体" w:eastAsia="黑体"/>
                <w:bCs/>
                <w:iCs/>
                <w:szCs w:val="21"/>
                <w:highlight w:val="none"/>
              </w:rPr>
              <w:t xml:space="preserve">链接: </w:t>
            </w:r>
            <w:r>
              <w:rPr>
                <w:rFonts w:ascii="黑体" w:hAnsi="黑体" w:eastAsia="黑体"/>
                <w:bCs/>
                <w:iCs/>
                <w:szCs w:val="21"/>
                <w:highlight w:val="none"/>
              </w:rPr>
              <w:t xml:space="preserve">https://pan.baidu.com/s/1AGsZQdEWHHB0IHvaoNR3fw </w:t>
            </w:r>
          </w:p>
          <w:p w14:paraId="01E347C0">
            <w:pPr>
              <w:adjustRightInd w:val="0"/>
              <w:snapToGrid w:val="0"/>
              <w:spacing w:line="320" w:lineRule="exact"/>
              <w:ind w:firstLine="420" w:firstLineChars="200"/>
              <w:rPr>
                <w:rFonts w:hint="eastAsia" w:ascii="黑体" w:hAnsi="黑体" w:eastAsia="黑体"/>
                <w:bCs/>
                <w:iCs/>
                <w:szCs w:val="21"/>
                <w:highlight w:val="none"/>
              </w:rPr>
            </w:pPr>
            <w:r>
              <w:rPr>
                <w:rFonts w:ascii="黑体" w:hAnsi="黑体" w:eastAsia="黑体"/>
                <w:bCs/>
                <w:iCs/>
                <w:szCs w:val="21"/>
                <w:highlight w:val="none"/>
              </w:rPr>
              <w:t>提取码: jlwb</w:t>
            </w:r>
          </w:p>
          <w:p w14:paraId="220D6F78">
            <w:pPr>
              <w:autoSpaceDE w:val="0"/>
              <w:autoSpaceDN w:val="0"/>
              <w:adjustRightInd w:val="0"/>
              <w:snapToGrid w:val="0"/>
              <w:spacing w:line="340" w:lineRule="exact"/>
              <w:rPr>
                <w:rFonts w:hint="eastAsia" w:ascii="宋体" w:hAnsi="宋体"/>
                <w:bCs/>
                <w:szCs w:val="21"/>
                <w:highlight w:val="none"/>
              </w:rPr>
            </w:pPr>
            <w:r>
              <w:rPr>
                <w:highlight w:val="none"/>
              </w:rPr>
              <w:drawing>
                <wp:anchor distT="0" distB="0" distL="114300" distR="114300" simplePos="0" relativeHeight="251659264" behindDoc="0" locked="0" layoutInCell="1" allowOverlap="1">
                  <wp:simplePos x="0" y="0"/>
                  <wp:positionH relativeFrom="margin">
                    <wp:posOffset>607695</wp:posOffset>
                  </wp:positionH>
                  <wp:positionV relativeFrom="paragraph">
                    <wp:posOffset>199390</wp:posOffset>
                  </wp:positionV>
                  <wp:extent cx="933450" cy="933450"/>
                  <wp:effectExtent l="0" t="0" r="0" b="0"/>
                  <wp:wrapSquare wrapText="bothSides"/>
                  <wp:docPr id="128091545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0915455" name="图片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933450" cy="933450"/>
                          </a:xfrm>
                          <a:prstGeom prst="rect">
                            <a:avLst/>
                          </a:prstGeom>
                          <a:noFill/>
                          <a:ln>
                            <a:noFill/>
                          </a:ln>
                        </pic:spPr>
                      </pic:pic>
                    </a:graphicData>
                  </a:graphic>
                </wp:anchor>
              </w:drawing>
            </w:r>
          </w:p>
          <w:p w14:paraId="44602053">
            <w:pPr>
              <w:adjustRightInd w:val="0"/>
              <w:snapToGrid w:val="0"/>
              <w:spacing w:line="340" w:lineRule="exact"/>
              <w:rPr>
                <w:rFonts w:hint="eastAsia" w:ascii="宋体" w:hAnsi="宋体"/>
                <w:bCs/>
                <w:szCs w:val="21"/>
                <w:highlight w:val="none"/>
              </w:rPr>
            </w:pPr>
          </w:p>
        </w:tc>
      </w:tr>
      <w:tr w14:paraId="7B291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490" w:type="pct"/>
            <w:vMerge w:val="restart"/>
            <w:vAlign w:val="center"/>
          </w:tcPr>
          <w:p w14:paraId="3C571B2D">
            <w:pPr>
              <w:adjustRightInd w:val="0"/>
              <w:snapToGrid w:val="0"/>
              <w:spacing w:line="340" w:lineRule="exact"/>
              <w:jc w:val="center"/>
              <w:rPr>
                <w:rFonts w:hint="eastAsia" w:ascii="宋体" w:hAnsi="宋体"/>
                <w:bCs/>
                <w:szCs w:val="21"/>
                <w:highlight w:val="none"/>
              </w:rPr>
            </w:pPr>
            <w:r>
              <w:rPr>
                <w:rFonts w:ascii="宋体" w:hAnsi="宋体"/>
                <w:bCs/>
                <w:szCs w:val="21"/>
                <w:highlight w:val="none"/>
              </w:rPr>
              <w:t>2.2.1</w:t>
            </w:r>
          </w:p>
        </w:tc>
        <w:tc>
          <w:tcPr>
            <w:tcW w:w="811" w:type="pct"/>
            <w:vMerge w:val="restart"/>
            <w:vAlign w:val="center"/>
          </w:tcPr>
          <w:p w14:paraId="74BA6F5A">
            <w:pPr>
              <w:adjustRightInd w:val="0"/>
              <w:snapToGrid w:val="0"/>
              <w:spacing w:line="340" w:lineRule="exact"/>
              <w:jc w:val="center"/>
              <w:rPr>
                <w:rFonts w:ascii="Times New Roman" w:hAnsi="Times New Roman"/>
                <w:bCs/>
                <w:szCs w:val="21"/>
                <w:highlight w:val="none"/>
              </w:rPr>
            </w:pPr>
            <w:r>
              <w:rPr>
                <w:rFonts w:ascii="Times New Roman" w:hAnsi="宋体"/>
                <w:bCs/>
                <w:szCs w:val="21"/>
                <w:highlight w:val="none"/>
              </w:rPr>
              <w:t>投标人要求澄清招标文件</w:t>
            </w:r>
          </w:p>
        </w:tc>
        <w:tc>
          <w:tcPr>
            <w:tcW w:w="3699" w:type="pct"/>
            <w:vAlign w:val="center"/>
          </w:tcPr>
          <w:p w14:paraId="2F4EC004">
            <w:pPr>
              <w:adjustRightInd w:val="0"/>
              <w:snapToGrid w:val="0"/>
              <w:spacing w:line="340" w:lineRule="exact"/>
              <w:rPr>
                <w:rFonts w:hint="eastAsia" w:ascii="宋体" w:hAnsi="宋体"/>
                <w:bCs/>
                <w:szCs w:val="21"/>
                <w:highlight w:val="none"/>
              </w:rPr>
            </w:pPr>
            <w:r>
              <w:rPr>
                <w:rFonts w:hint="eastAsia" w:ascii="宋体" w:hAnsi="宋体"/>
                <w:bCs/>
                <w:szCs w:val="21"/>
                <w:highlight w:val="none"/>
              </w:rPr>
              <w:t>时间：递交投标文件截止之日10天前</w:t>
            </w:r>
          </w:p>
        </w:tc>
      </w:tr>
      <w:tr w14:paraId="2CD47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490" w:type="pct"/>
            <w:vMerge w:val="continue"/>
            <w:vAlign w:val="center"/>
          </w:tcPr>
          <w:p w14:paraId="727FC582">
            <w:pPr>
              <w:adjustRightInd w:val="0"/>
              <w:snapToGrid w:val="0"/>
              <w:spacing w:line="340" w:lineRule="exact"/>
              <w:jc w:val="center"/>
              <w:rPr>
                <w:rFonts w:hint="eastAsia" w:ascii="宋体" w:hAnsi="宋体"/>
                <w:bCs/>
                <w:szCs w:val="21"/>
                <w:highlight w:val="none"/>
              </w:rPr>
            </w:pPr>
          </w:p>
        </w:tc>
        <w:tc>
          <w:tcPr>
            <w:tcW w:w="811" w:type="pct"/>
            <w:vMerge w:val="continue"/>
            <w:vAlign w:val="center"/>
          </w:tcPr>
          <w:p w14:paraId="2AC8FA26">
            <w:pPr>
              <w:adjustRightInd w:val="0"/>
              <w:snapToGrid w:val="0"/>
              <w:spacing w:line="340" w:lineRule="exact"/>
              <w:jc w:val="center"/>
              <w:rPr>
                <w:rFonts w:hint="eastAsia" w:ascii="Times New Roman" w:hAnsi="宋体"/>
                <w:bCs/>
                <w:szCs w:val="21"/>
                <w:highlight w:val="none"/>
              </w:rPr>
            </w:pPr>
          </w:p>
        </w:tc>
        <w:tc>
          <w:tcPr>
            <w:tcW w:w="3699" w:type="pct"/>
            <w:vAlign w:val="center"/>
          </w:tcPr>
          <w:p w14:paraId="7B314943">
            <w:pPr>
              <w:adjustRightInd w:val="0"/>
              <w:snapToGrid w:val="0"/>
              <w:spacing w:line="340" w:lineRule="exact"/>
              <w:rPr>
                <w:rFonts w:hint="eastAsia" w:ascii="宋体" w:hAnsi="宋体"/>
                <w:bCs/>
                <w:szCs w:val="21"/>
                <w:highlight w:val="none"/>
              </w:rPr>
            </w:pPr>
            <w:r>
              <w:rPr>
                <w:rFonts w:hint="eastAsia" w:ascii="宋体" w:hAnsi="宋体"/>
                <w:bCs/>
                <w:szCs w:val="21"/>
                <w:highlight w:val="none"/>
              </w:rPr>
              <w:t>形式：</w:t>
            </w:r>
            <w:r>
              <w:rPr>
                <w:rFonts w:hint="eastAsia"/>
                <w:bCs/>
                <w:szCs w:val="21"/>
                <w:highlight w:val="none"/>
              </w:rPr>
              <w:t>使用 CA 数字证书登录“电子交易平台”，在“投标答疑”菜单以书面形式要求招标人对招标文件予以澄清</w:t>
            </w:r>
          </w:p>
        </w:tc>
      </w:tr>
      <w:tr w14:paraId="4FF21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490" w:type="pct"/>
            <w:vAlign w:val="center"/>
          </w:tcPr>
          <w:p w14:paraId="6E046250">
            <w:pPr>
              <w:adjustRightInd w:val="0"/>
              <w:snapToGrid w:val="0"/>
              <w:spacing w:line="340" w:lineRule="exact"/>
              <w:jc w:val="center"/>
              <w:rPr>
                <w:rFonts w:hint="eastAsia" w:ascii="宋体" w:hAnsi="宋体"/>
                <w:bCs/>
                <w:szCs w:val="21"/>
                <w:highlight w:val="none"/>
              </w:rPr>
            </w:pPr>
            <w:r>
              <w:rPr>
                <w:rFonts w:hint="eastAsia" w:ascii="宋体" w:hAnsi="宋体"/>
                <w:bCs/>
                <w:szCs w:val="21"/>
                <w:highlight w:val="none"/>
              </w:rPr>
              <w:t>2.2.2</w:t>
            </w:r>
          </w:p>
        </w:tc>
        <w:tc>
          <w:tcPr>
            <w:tcW w:w="811" w:type="pct"/>
            <w:vAlign w:val="center"/>
          </w:tcPr>
          <w:p w14:paraId="393C806A">
            <w:pPr>
              <w:adjustRightInd w:val="0"/>
              <w:snapToGrid w:val="0"/>
              <w:spacing w:line="340" w:lineRule="exact"/>
              <w:jc w:val="center"/>
              <w:rPr>
                <w:rFonts w:hint="eastAsia" w:ascii="宋体" w:hAnsi="宋体"/>
                <w:bCs/>
                <w:szCs w:val="21"/>
                <w:highlight w:val="none"/>
              </w:rPr>
            </w:pPr>
            <w:r>
              <w:rPr>
                <w:rFonts w:hint="eastAsia" w:ascii="宋体" w:hAnsi="宋体"/>
                <w:bCs/>
                <w:szCs w:val="21"/>
                <w:highlight w:val="none"/>
              </w:rPr>
              <w:t>招标文件澄清发出的形式</w:t>
            </w:r>
          </w:p>
        </w:tc>
        <w:tc>
          <w:tcPr>
            <w:tcW w:w="3699" w:type="pct"/>
            <w:vAlign w:val="center"/>
          </w:tcPr>
          <w:p w14:paraId="611724F8">
            <w:pPr>
              <w:adjustRightInd w:val="0"/>
              <w:snapToGrid w:val="0"/>
              <w:spacing w:line="340" w:lineRule="exact"/>
              <w:jc w:val="left"/>
              <w:rPr>
                <w:rFonts w:hint="eastAsia" w:ascii="宋体" w:hAnsi="宋体" w:cs="Consolas"/>
                <w:bCs/>
                <w:iCs/>
                <w:szCs w:val="21"/>
                <w:highlight w:val="none"/>
              </w:rPr>
            </w:pPr>
            <w:r>
              <w:rPr>
                <w:rFonts w:hint="eastAsia" w:ascii="宋体" w:hAnsi="宋体"/>
                <w:bCs/>
                <w:iCs/>
                <w:szCs w:val="21"/>
                <w:highlight w:val="none"/>
              </w:rPr>
              <w:t>通过“电子交易平台”发出招标文件澄清</w:t>
            </w:r>
          </w:p>
        </w:tc>
      </w:tr>
      <w:tr w14:paraId="310CA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490" w:type="pct"/>
            <w:vAlign w:val="center"/>
          </w:tcPr>
          <w:p w14:paraId="163695DE">
            <w:pPr>
              <w:adjustRightInd w:val="0"/>
              <w:snapToGrid w:val="0"/>
              <w:spacing w:line="340" w:lineRule="exact"/>
              <w:jc w:val="center"/>
              <w:rPr>
                <w:rFonts w:hint="eastAsia" w:ascii="宋体" w:hAnsi="宋体"/>
                <w:bCs/>
                <w:szCs w:val="21"/>
                <w:highlight w:val="none"/>
              </w:rPr>
            </w:pPr>
            <w:r>
              <w:rPr>
                <w:rFonts w:ascii="宋体" w:hAnsi="宋体"/>
                <w:bCs/>
                <w:szCs w:val="21"/>
                <w:highlight w:val="none"/>
              </w:rPr>
              <w:t>2.3.</w:t>
            </w:r>
            <w:r>
              <w:rPr>
                <w:rFonts w:hint="eastAsia" w:ascii="宋体" w:hAnsi="宋体"/>
                <w:bCs/>
                <w:szCs w:val="21"/>
                <w:highlight w:val="none"/>
              </w:rPr>
              <w:t>1</w:t>
            </w:r>
          </w:p>
        </w:tc>
        <w:tc>
          <w:tcPr>
            <w:tcW w:w="811" w:type="pct"/>
            <w:vAlign w:val="center"/>
          </w:tcPr>
          <w:p w14:paraId="47203213">
            <w:pPr>
              <w:adjustRightInd w:val="0"/>
              <w:snapToGrid w:val="0"/>
              <w:spacing w:line="340" w:lineRule="exact"/>
              <w:jc w:val="center"/>
              <w:rPr>
                <w:rFonts w:hint="eastAsia" w:ascii="宋体" w:hAnsi="宋体"/>
                <w:bCs/>
                <w:szCs w:val="21"/>
                <w:highlight w:val="none"/>
              </w:rPr>
            </w:pPr>
            <w:r>
              <w:rPr>
                <w:rFonts w:hint="eastAsia" w:ascii="宋体" w:hAnsi="宋体"/>
                <w:bCs/>
                <w:szCs w:val="21"/>
                <w:highlight w:val="none"/>
              </w:rPr>
              <w:t>招标文件修改发出的形式</w:t>
            </w:r>
          </w:p>
        </w:tc>
        <w:tc>
          <w:tcPr>
            <w:tcW w:w="3699" w:type="pct"/>
            <w:vAlign w:val="center"/>
          </w:tcPr>
          <w:p w14:paraId="392DE73B">
            <w:pPr>
              <w:adjustRightInd w:val="0"/>
              <w:snapToGrid w:val="0"/>
              <w:spacing w:line="340" w:lineRule="exact"/>
              <w:rPr>
                <w:rFonts w:ascii="Consolas" w:hAnsi="Consolas" w:cs="Consolas"/>
                <w:bCs/>
                <w:i/>
                <w:szCs w:val="21"/>
                <w:highlight w:val="none"/>
              </w:rPr>
            </w:pPr>
            <w:r>
              <w:rPr>
                <w:rFonts w:hint="eastAsia" w:ascii="宋体" w:hAnsi="宋体"/>
                <w:bCs/>
                <w:iCs/>
                <w:szCs w:val="21"/>
                <w:highlight w:val="none"/>
              </w:rPr>
              <w:t>通过“电子交易平台”发出招标文件修改</w:t>
            </w:r>
          </w:p>
        </w:tc>
      </w:tr>
      <w:tr w14:paraId="59FD6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490" w:type="pct"/>
            <w:vMerge w:val="restart"/>
            <w:vAlign w:val="center"/>
          </w:tcPr>
          <w:p w14:paraId="4D130CBF">
            <w:pPr>
              <w:adjustRightInd w:val="0"/>
              <w:snapToGrid w:val="0"/>
              <w:spacing w:line="340" w:lineRule="exact"/>
              <w:jc w:val="center"/>
              <w:rPr>
                <w:rFonts w:hint="eastAsia" w:ascii="宋体" w:hAnsi="宋体"/>
                <w:bCs/>
                <w:szCs w:val="21"/>
                <w:highlight w:val="none"/>
              </w:rPr>
            </w:pPr>
            <w:r>
              <w:rPr>
                <w:rFonts w:hint="eastAsia" w:ascii="宋体" w:hAnsi="宋体"/>
                <w:bCs/>
                <w:szCs w:val="21"/>
                <w:highlight w:val="none"/>
              </w:rPr>
              <w:t>2.3.2</w:t>
            </w:r>
          </w:p>
        </w:tc>
        <w:tc>
          <w:tcPr>
            <w:tcW w:w="811" w:type="pct"/>
            <w:vMerge w:val="restart"/>
            <w:vAlign w:val="center"/>
          </w:tcPr>
          <w:p w14:paraId="6EDCD7B2">
            <w:pPr>
              <w:adjustRightInd w:val="0"/>
              <w:snapToGrid w:val="0"/>
              <w:spacing w:line="340" w:lineRule="exact"/>
              <w:jc w:val="center"/>
              <w:rPr>
                <w:rFonts w:hint="eastAsia" w:ascii="宋体" w:hAnsi="宋体"/>
                <w:bCs/>
                <w:szCs w:val="21"/>
                <w:highlight w:val="none"/>
              </w:rPr>
            </w:pPr>
            <w:r>
              <w:rPr>
                <w:rFonts w:ascii="宋体" w:hAnsi="宋体"/>
                <w:bCs/>
                <w:szCs w:val="21"/>
                <w:highlight w:val="none"/>
              </w:rPr>
              <w:t>投标人确认收到招标文件</w:t>
            </w:r>
            <w:r>
              <w:rPr>
                <w:rFonts w:hint="eastAsia" w:ascii="宋体" w:hAnsi="宋体"/>
                <w:bCs/>
                <w:szCs w:val="21"/>
                <w:highlight w:val="none"/>
              </w:rPr>
              <w:t>修改</w:t>
            </w:r>
          </w:p>
        </w:tc>
        <w:tc>
          <w:tcPr>
            <w:tcW w:w="3699" w:type="pct"/>
            <w:vAlign w:val="center"/>
          </w:tcPr>
          <w:p w14:paraId="294BBF7A">
            <w:pPr>
              <w:adjustRightInd w:val="0"/>
              <w:snapToGrid w:val="0"/>
              <w:spacing w:line="340" w:lineRule="exact"/>
              <w:rPr>
                <w:rFonts w:hint="eastAsia" w:ascii="宋体" w:hAnsi="宋体"/>
                <w:bCs/>
                <w:szCs w:val="21"/>
                <w:highlight w:val="none"/>
              </w:rPr>
            </w:pPr>
            <w:r>
              <w:rPr>
                <w:rFonts w:hint="eastAsia" w:ascii="宋体" w:hAnsi="宋体"/>
                <w:bCs/>
                <w:szCs w:val="21"/>
                <w:highlight w:val="none"/>
              </w:rPr>
              <w:t>时间：收到修改后24小时内（以发出时间为准）</w:t>
            </w:r>
          </w:p>
        </w:tc>
      </w:tr>
      <w:tr w14:paraId="50129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490" w:type="pct"/>
            <w:vMerge w:val="continue"/>
            <w:vAlign w:val="center"/>
          </w:tcPr>
          <w:p w14:paraId="6AB9EC4B">
            <w:pPr>
              <w:adjustRightInd w:val="0"/>
              <w:snapToGrid w:val="0"/>
              <w:spacing w:line="340" w:lineRule="exact"/>
              <w:jc w:val="center"/>
              <w:rPr>
                <w:rFonts w:hint="eastAsia" w:ascii="宋体" w:hAnsi="宋体"/>
                <w:bCs/>
                <w:szCs w:val="21"/>
                <w:highlight w:val="none"/>
              </w:rPr>
            </w:pPr>
          </w:p>
        </w:tc>
        <w:tc>
          <w:tcPr>
            <w:tcW w:w="811" w:type="pct"/>
            <w:vMerge w:val="continue"/>
            <w:vAlign w:val="center"/>
          </w:tcPr>
          <w:p w14:paraId="79AAE61D">
            <w:pPr>
              <w:adjustRightInd w:val="0"/>
              <w:snapToGrid w:val="0"/>
              <w:spacing w:line="340" w:lineRule="exact"/>
              <w:jc w:val="center"/>
              <w:rPr>
                <w:rFonts w:hint="eastAsia" w:ascii="宋体" w:hAnsi="宋体"/>
                <w:bCs/>
                <w:szCs w:val="21"/>
                <w:highlight w:val="none"/>
              </w:rPr>
            </w:pPr>
          </w:p>
        </w:tc>
        <w:tc>
          <w:tcPr>
            <w:tcW w:w="3699" w:type="pct"/>
            <w:vAlign w:val="center"/>
          </w:tcPr>
          <w:p w14:paraId="2C4AE3D1">
            <w:pPr>
              <w:adjustRightInd w:val="0"/>
              <w:snapToGrid w:val="0"/>
              <w:spacing w:line="340" w:lineRule="exact"/>
              <w:rPr>
                <w:rFonts w:hint="eastAsia" w:ascii="宋体" w:hAnsi="宋体"/>
                <w:bCs/>
                <w:szCs w:val="21"/>
                <w:highlight w:val="none"/>
              </w:rPr>
            </w:pPr>
            <w:r>
              <w:rPr>
                <w:rFonts w:hint="eastAsia" w:ascii="宋体" w:hAnsi="宋体"/>
                <w:bCs/>
                <w:szCs w:val="21"/>
                <w:highlight w:val="none"/>
              </w:rPr>
              <w:t>形式：通过“电子交易平台”确认</w:t>
            </w:r>
          </w:p>
        </w:tc>
      </w:tr>
      <w:tr w14:paraId="2A0B0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490" w:type="pct"/>
            <w:vAlign w:val="center"/>
          </w:tcPr>
          <w:p w14:paraId="74461E88">
            <w:pPr>
              <w:adjustRightInd w:val="0"/>
              <w:snapToGrid w:val="0"/>
              <w:spacing w:line="340" w:lineRule="exact"/>
              <w:jc w:val="center"/>
              <w:rPr>
                <w:rFonts w:hint="eastAsia" w:ascii="宋体" w:hAnsi="宋体"/>
                <w:bCs/>
                <w:szCs w:val="21"/>
                <w:highlight w:val="none"/>
              </w:rPr>
            </w:pPr>
            <w:r>
              <w:rPr>
                <w:rFonts w:ascii="宋体" w:hAnsi="宋体"/>
                <w:bCs/>
                <w:szCs w:val="21"/>
                <w:highlight w:val="none"/>
              </w:rPr>
              <w:t>3.1</w:t>
            </w:r>
            <w:r>
              <w:rPr>
                <w:rFonts w:hint="eastAsia" w:ascii="宋体" w:hAnsi="宋体"/>
                <w:bCs/>
                <w:szCs w:val="21"/>
                <w:highlight w:val="none"/>
              </w:rPr>
              <w:t>.1</w:t>
            </w:r>
          </w:p>
        </w:tc>
        <w:tc>
          <w:tcPr>
            <w:tcW w:w="811" w:type="pct"/>
            <w:vAlign w:val="center"/>
          </w:tcPr>
          <w:p w14:paraId="410E2D62">
            <w:pPr>
              <w:adjustRightInd w:val="0"/>
              <w:snapToGrid w:val="0"/>
              <w:spacing w:line="340" w:lineRule="exact"/>
              <w:jc w:val="center"/>
              <w:rPr>
                <w:rFonts w:hint="eastAsia" w:ascii="宋体" w:hAnsi="宋体"/>
                <w:bCs/>
                <w:szCs w:val="21"/>
                <w:highlight w:val="none"/>
              </w:rPr>
            </w:pPr>
            <w:r>
              <w:rPr>
                <w:rFonts w:hint="eastAsia" w:ascii="宋体" w:hAnsi="宋体"/>
                <w:bCs/>
                <w:szCs w:val="21"/>
                <w:highlight w:val="none"/>
              </w:rPr>
              <w:t>投标文件</w:t>
            </w:r>
            <w:r>
              <w:rPr>
                <w:rFonts w:ascii="宋体" w:hAnsi="宋体"/>
                <w:bCs/>
                <w:szCs w:val="21"/>
                <w:highlight w:val="none"/>
              </w:rPr>
              <w:br w:type="textWrapping"/>
            </w:r>
            <w:r>
              <w:rPr>
                <w:rFonts w:hint="eastAsia" w:ascii="宋体" w:hAnsi="宋体"/>
                <w:bCs/>
                <w:szCs w:val="21"/>
                <w:highlight w:val="none"/>
              </w:rPr>
              <w:t>密封形式</w:t>
            </w:r>
          </w:p>
        </w:tc>
        <w:tc>
          <w:tcPr>
            <w:tcW w:w="3699" w:type="pct"/>
            <w:vAlign w:val="center"/>
          </w:tcPr>
          <w:p w14:paraId="57EFEAAE">
            <w:pPr>
              <w:adjustRightInd w:val="0"/>
              <w:snapToGrid w:val="0"/>
              <w:spacing w:line="340" w:lineRule="exact"/>
              <w:rPr>
                <w:rFonts w:hint="eastAsia" w:ascii="宋体" w:hAnsi="宋体"/>
                <w:bCs/>
                <w:szCs w:val="21"/>
                <w:highlight w:val="none"/>
              </w:rPr>
            </w:pPr>
            <w:r>
              <w:rPr>
                <w:rFonts w:hint="eastAsia" w:ascii="宋体" w:hAnsi="宋体"/>
                <w:bCs/>
                <w:szCs w:val="21"/>
                <w:highlight w:val="none"/>
              </w:rPr>
              <w:t>双信封</w:t>
            </w:r>
          </w:p>
        </w:tc>
      </w:tr>
      <w:tr w14:paraId="267A5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490" w:type="pct"/>
            <w:vAlign w:val="center"/>
          </w:tcPr>
          <w:p w14:paraId="04EB4493">
            <w:pPr>
              <w:adjustRightInd w:val="0"/>
              <w:snapToGrid w:val="0"/>
              <w:spacing w:line="340" w:lineRule="exact"/>
              <w:jc w:val="center"/>
              <w:rPr>
                <w:rFonts w:hint="eastAsia" w:ascii="宋体" w:hAnsi="宋体"/>
                <w:bCs/>
                <w:szCs w:val="21"/>
                <w:highlight w:val="none"/>
              </w:rPr>
            </w:pPr>
            <w:r>
              <w:rPr>
                <w:rFonts w:ascii="宋体" w:hAnsi="宋体"/>
                <w:bCs/>
                <w:szCs w:val="21"/>
                <w:highlight w:val="none"/>
              </w:rPr>
              <w:t>3.1.1</w:t>
            </w:r>
          </w:p>
        </w:tc>
        <w:tc>
          <w:tcPr>
            <w:tcW w:w="811" w:type="pct"/>
            <w:vAlign w:val="center"/>
          </w:tcPr>
          <w:p w14:paraId="50B2661C">
            <w:pPr>
              <w:adjustRightInd w:val="0"/>
              <w:snapToGrid w:val="0"/>
              <w:spacing w:line="340" w:lineRule="exact"/>
              <w:jc w:val="center"/>
              <w:rPr>
                <w:rFonts w:hint="eastAsia" w:ascii="宋体" w:hAnsi="宋体"/>
                <w:bCs/>
                <w:szCs w:val="21"/>
                <w:highlight w:val="none"/>
              </w:rPr>
            </w:pPr>
            <w:r>
              <w:rPr>
                <w:rFonts w:ascii="宋体" w:hAnsi="宋体"/>
                <w:bCs/>
                <w:szCs w:val="21"/>
                <w:highlight w:val="none"/>
              </w:rPr>
              <w:t>构成投标文件的其他</w:t>
            </w:r>
            <w:r>
              <w:rPr>
                <w:rFonts w:hint="eastAsia" w:ascii="宋体" w:hAnsi="宋体"/>
                <w:bCs/>
                <w:szCs w:val="21"/>
                <w:highlight w:val="none"/>
              </w:rPr>
              <w:t>资料</w:t>
            </w:r>
          </w:p>
        </w:tc>
        <w:tc>
          <w:tcPr>
            <w:tcW w:w="3699" w:type="pct"/>
            <w:vAlign w:val="center"/>
          </w:tcPr>
          <w:p w14:paraId="67042E8A">
            <w:pPr>
              <w:adjustRightInd w:val="0"/>
              <w:snapToGrid w:val="0"/>
              <w:spacing w:line="340" w:lineRule="exact"/>
              <w:rPr>
                <w:rFonts w:hint="eastAsia" w:ascii="宋体" w:hAnsi="宋体"/>
                <w:bCs/>
                <w:szCs w:val="21"/>
                <w:highlight w:val="none"/>
              </w:rPr>
            </w:pPr>
            <w:r>
              <w:rPr>
                <w:rFonts w:hint="eastAsia" w:ascii="宋体" w:hAnsi="宋体"/>
                <w:bCs/>
                <w:szCs w:val="21"/>
                <w:highlight w:val="none"/>
                <w:lang w:val="zh-CN"/>
              </w:rPr>
              <w:t>详见第九章“投标文件格式”</w:t>
            </w:r>
          </w:p>
        </w:tc>
      </w:tr>
      <w:tr w14:paraId="3420A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490" w:type="pct"/>
            <w:vAlign w:val="center"/>
          </w:tcPr>
          <w:p w14:paraId="3DDB8645">
            <w:pPr>
              <w:adjustRightInd w:val="0"/>
              <w:snapToGrid w:val="0"/>
              <w:spacing w:line="340" w:lineRule="exact"/>
              <w:jc w:val="center"/>
              <w:rPr>
                <w:rFonts w:hint="eastAsia" w:ascii="宋体" w:hAnsi="宋体"/>
                <w:bCs/>
                <w:szCs w:val="21"/>
                <w:highlight w:val="none"/>
              </w:rPr>
            </w:pPr>
            <w:bookmarkStart w:id="80" w:name="OLE_LINK134"/>
            <w:r>
              <w:rPr>
                <w:rFonts w:hint="eastAsia" w:ascii="宋体" w:hAnsi="宋体"/>
                <w:bCs/>
                <w:szCs w:val="21"/>
                <w:highlight w:val="none"/>
              </w:rPr>
              <w:t>3.2.1</w:t>
            </w:r>
            <w:bookmarkEnd w:id="80"/>
          </w:p>
        </w:tc>
        <w:tc>
          <w:tcPr>
            <w:tcW w:w="811" w:type="pct"/>
            <w:vAlign w:val="center"/>
          </w:tcPr>
          <w:p w14:paraId="29BAED38">
            <w:pPr>
              <w:adjustRightInd w:val="0"/>
              <w:snapToGrid w:val="0"/>
              <w:spacing w:line="340" w:lineRule="exact"/>
              <w:jc w:val="center"/>
              <w:rPr>
                <w:rFonts w:hint="eastAsia" w:ascii="宋体" w:hAnsi="宋体"/>
                <w:bCs/>
                <w:szCs w:val="21"/>
                <w:highlight w:val="none"/>
              </w:rPr>
            </w:pPr>
            <w:r>
              <w:rPr>
                <w:rFonts w:hint="eastAsia" w:ascii="宋体" w:hAnsi="宋体"/>
                <w:bCs/>
                <w:szCs w:val="21"/>
                <w:highlight w:val="none"/>
              </w:rPr>
              <w:t>增值税税金</w:t>
            </w:r>
          </w:p>
          <w:p w14:paraId="032B4342">
            <w:pPr>
              <w:adjustRightInd w:val="0"/>
              <w:snapToGrid w:val="0"/>
              <w:spacing w:line="340" w:lineRule="exact"/>
              <w:jc w:val="center"/>
              <w:rPr>
                <w:rFonts w:hint="eastAsia" w:ascii="宋体" w:hAnsi="宋体"/>
                <w:bCs/>
                <w:szCs w:val="21"/>
                <w:highlight w:val="none"/>
              </w:rPr>
            </w:pPr>
            <w:r>
              <w:rPr>
                <w:rFonts w:hint="eastAsia" w:ascii="宋体" w:hAnsi="宋体"/>
                <w:bCs/>
                <w:szCs w:val="21"/>
                <w:highlight w:val="none"/>
              </w:rPr>
              <w:t>的计算方法</w:t>
            </w:r>
          </w:p>
        </w:tc>
        <w:tc>
          <w:tcPr>
            <w:tcW w:w="3699" w:type="pct"/>
            <w:vAlign w:val="center"/>
          </w:tcPr>
          <w:p w14:paraId="2DBFDA26">
            <w:pPr>
              <w:adjustRightInd w:val="0"/>
              <w:snapToGrid w:val="0"/>
              <w:spacing w:line="340" w:lineRule="exact"/>
              <w:rPr>
                <w:rFonts w:hint="eastAsia" w:ascii="宋体" w:hAnsi="宋体"/>
                <w:bCs/>
                <w:szCs w:val="21"/>
                <w:highlight w:val="none"/>
                <w:lang w:val="zh-CN"/>
              </w:rPr>
            </w:pPr>
            <w:r>
              <w:rPr>
                <w:rFonts w:hint="eastAsia" w:ascii="宋体" w:hAnsi="宋体"/>
                <w:bCs/>
                <w:szCs w:val="21"/>
                <w:highlight w:val="none"/>
                <w:lang w:val="zh-CN"/>
              </w:rPr>
              <w:t>/</w:t>
            </w:r>
          </w:p>
        </w:tc>
      </w:tr>
      <w:tr w14:paraId="02444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490" w:type="pct"/>
            <w:vAlign w:val="center"/>
          </w:tcPr>
          <w:p w14:paraId="64946895">
            <w:pPr>
              <w:adjustRightInd w:val="0"/>
              <w:snapToGrid w:val="0"/>
              <w:spacing w:line="340" w:lineRule="exact"/>
              <w:jc w:val="center"/>
              <w:rPr>
                <w:rFonts w:hint="eastAsia" w:ascii="宋体" w:hAnsi="宋体"/>
                <w:bCs/>
                <w:szCs w:val="21"/>
                <w:highlight w:val="none"/>
              </w:rPr>
            </w:pPr>
            <w:r>
              <w:rPr>
                <w:rFonts w:hint="eastAsia" w:ascii="宋体" w:hAnsi="宋体"/>
                <w:bCs/>
                <w:szCs w:val="21"/>
                <w:highlight w:val="none"/>
              </w:rPr>
              <w:t>3.2.1</w:t>
            </w:r>
          </w:p>
        </w:tc>
        <w:tc>
          <w:tcPr>
            <w:tcW w:w="811" w:type="pct"/>
            <w:vAlign w:val="center"/>
          </w:tcPr>
          <w:p w14:paraId="2C7D1537">
            <w:pPr>
              <w:adjustRightInd w:val="0"/>
              <w:snapToGrid w:val="0"/>
              <w:spacing w:line="340" w:lineRule="exact"/>
              <w:jc w:val="center"/>
              <w:rPr>
                <w:rFonts w:hint="eastAsia" w:ascii="宋体" w:hAnsi="宋体"/>
                <w:bCs/>
                <w:szCs w:val="21"/>
                <w:highlight w:val="none"/>
              </w:rPr>
            </w:pPr>
            <w:r>
              <w:rPr>
                <w:rFonts w:hint="eastAsia" w:ascii="宋体" w:hAnsi="宋体"/>
                <w:bCs/>
                <w:szCs w:val="21"/>
                <w:highlight w:val="none"/>
              </w:rPr>
              <w:t>工程量清单</w:t>
            </w:r>
            <w:r>
              <w:rPr>
                <w:rFonts w:ascii="宋体" w:hAnsi="宋体"/>
                <w:bCs/>
                <w:szCs w:val="21"/>
                <w:highlight w:val="none"/>
              </w:rPr>
              <w:br w:type="textWrapping"/>
            </w:r>
            <w:r>
              <w:rPr>
                <w:rFonts w:hint="eastAsia" w:ascii="宋体" w:hAnsi="宋体"/>
                <w:bCs/>
                <w:szCs w:val="21"/>
                <w:highlight w:val="none"/>
              </w:rPr>
              <w:t>的填写方式</w:t>
            </w:r>
          </w:p>
        </w:tc>
        <w:tc>
          <w:tcPr>
            <w:tcW w:w="3699" w:type="pct"/>
            <w:vAlign w:val="center"/>
          </w:tcPr>
          <w:p w14:paraId="55A3A6D6">
            <w:pPr>
              <w:adjustRightInd w:val="0"/>
              <w:snapToGrid w:val="0"/>
              <w:spacing w:line="340" w:lineRule="exact"/>
              <w:rPr>
                <w:rFonts w:hint="eastAsia" w:ascii="宋体" w:hAnsi="宋体"/>
                <w:bCs/>
                <w:szCs w:val="21"/>
                <w:highlight w:val="none"/>
              </w:rPr>
            </w:pPr>
            <w:r>
              <w:rPr>
                <w:rFonts w:hint="eastAsia" w:ascii="宋体" w:hAnsi="宋体"/>
                <w:bCs/>
                <w:szCs w:val="21"/>
                <w:highlight w:val="none"/>
              </w:rPr>
              <w:t>投标人按照招标人上传到“一体化平台”的工程量清单电子文件填写工程量清单。</w:t>
            </w:r>
          </w:p>
        </w:tc>
      </w:tr>
      <w:tr w14:paraId="75F80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490" w:type="pct"/>
            <w:vAlign w:val="center"/>
          </w:tcPr>
          <w:p w14:paraId="0F7E6E00">
            <w:pPr>
              <w:adjustRightInd w:val="0"/>
              <w:snapToGrid w:val="0"/>
              <w:spacing w:line="340" w:lineRule="exact"/>
              <w:jc w:val="center"/>
              <w:rPr>
                <w:rFonts w:hint="eastAsia" w:ascii="宋体" w:hAnsi="宋体"/>
                <w:bCs/>
                <w:szCs w:val="21"/>
                <w:highlight w:val="none"/>
              </w:rPr>
            </w:pPr>
            <w:r>
              <w:rPr>
                <w:rFonts w:hint="eastAsia" w:ascii="宋体" w:hAnsi="宋体"/>
                <w:bCs/>
                <w:szCs w:val="21"/>
                <w:highlight w:val="none"/>
              </w:rPr>
              <w:t>3.2.3</w:t>
            </w:r>
          </w:p>
        </w:tc>
        <w:tc>
          <w:tcPr>
            <w:tcW w:w="811" w:type="pct"/>
            <w:vAlign w:val="center"/>
          </w:tcPr>
          <w:p w14:paraId="004EB70B">
            <w:pPr>
              <w:adjustRightInd w:val="0"/>
              <w:snapToGrid w:val="0"/>
              <w:spacing w:line="340" w:lineRule="exact"/>
              <w:jc w:val="center"/>
              <w:rPr>
                <w:rFonts w:hint="eastAsia" w:ascii="宋体" w:hAnsi="宋体"/>
                <w:bCs/>
                <w:szCs w:val="21"/>
                <w:highlight w:val="none"/>
              </w:rPr>
            </w:pPr>
            <w:r>
              <w:rPr>
                <w:rFonts w:hint="eastAsia" w:ascii="宋体" w:hAnsi="宋体"/>
                <w:bCs/>
                <w:szCs w:val="21"/>
                <w:highlight w:val="none"/>
              </w:rPr>
              <w:t>报价方式</w:t>
            </w:r>
          </w:p>
        </w:tc>
        <w:tc>
          <w:tcPr>
            <w:tcW w:w="3699" w:type="pct"/>
            <w:vAlign w:val="center"/>
          </w:tcPr>
          <w:p w14:paraId="66D0DE96">
            <w:pPr>
              <w:adjustRightInd w:val="0"/>
              <w:snapToGrid w:val="0"/>
              <w:spacing w:line="340" w:lineRule="exact"/>
              <w:rPr>
                <w:rFonts w:hint="eastAsia" w:ascii="宋体" w:hAnsi="宋体"/>
                <w:bCs/>
                <w:szCs w:val="21"/>
                <w:highlight w:val="none"/>
              </w:rPr>
            </w:pPr>
            <w:r>
              <w:rPr>
                <w:rFonts w:hint="eastAsia" w:ascii="宋体" w:hAnsi="宋体"/>
                <w:bCs/>
                <w:szCs w:val="21"/>
                <w:highlight w:val="none"/>
              </w:rPr>
              <w:t>单价</w:t>
            </w:r>
          </w:p>
        </w:tc>
      </w:tr>
      <w:tr w14:paraId="1249F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490" w:type="pct"/>
            <w:vAlign w:val="center"/>
          </w:tcPr>
          <w:p w14:paraId="47119A81">
            <w:pPr>
              <w:adjustRightInd w:val="0"/>
              <w:snapToGrid w:val="0"/>
              <w:spacing w:line="340" w:lineRule="exact"/>
              <w:jc w:val="center"/>
              <w:rPr>
                <w:rFonts w:hint="eastAsia" w:ascii="宋体" w:hAnsi="宋体"/>
                <w:bCs/>
                <w:szCs w:val="21"/>
                <w:highlight w:val="none"/>
              </w:rPr>
            </w:pPr>
            <w:r>
              <w:rPr>
                <w:rFonts w:ascii="宋体" w:hAnsi="宋体"/>
                <w:bCs/>
                <w:szCs w:val="21"/>
                <w:highlight w:val="none"/>
              </w:rPr>
              <w:t>3.2.6</w:t>
            </w:r>
          </w:p>
        </w:tc>
        <w:tc>
          <w:tcPr>
            <w:tcW w:w="811" w:type="pct"/>
            <w:vAlign w:val="center"/>
          </w:tcPr>
          <w:p w14:paraId="09611C83">
            <w:pPr>
              <w:adjustRightInd w:val="0"/>
              <w:snapToGrid w:val="0"/>
              <w:spacing w:line="340" w:lineRule="exact"/>
              <w:jc w:val="center"/>
              <w:rPr>
                <w:rFonts w:ascii="Times New Roman" w:hAnsi="Times New Roman"/>
                <w:bCs/>
                <w:szCs w:val="21"/>
                <w:highlight w:val="none"/>
              </w:rPr>
            </w:pPr>
            <w:r>
              <w:rPr>
                <w:rFonts w:ascii="Times New Roman" w:hAnsi="宋体"/>
                <w:bCs/>
                <w:szCs w:val="21"/>
                <w:highlight w:val="none"/>
              </w:rPr>
              <w:t>是否接受</w:t>
            </w:r>
          </w:p>
          <w:p w14:paraId="6D8F724D">
            <w:pPr>
              <w:adjustRightInd w:val="0"/>
              <w:snapToGrid w:val="0"/>
              <w:spacing w:line="340" w:lineRule="exact"/>
              <w:jc w:val="center"/>
              <w:rPr>
                <w:rFonts w:ascii="Times New Roman" w:hAnsi="Times New Roman"/>
                <w:bCs/>
                <w:szCs w:val="21"/>
                <w:highlight w:val="none"/>
              </w:rPr>
            </w:pPr>
            <w:r>
              <w:rPr>
                <w:rFonts w:ascii="Times New Roman" w:hAnsi="宋体"/>
                <w:bCs/>
                <w:szCs w:val="21"/>
                <w:highlight w:val="none"/>
              </w:rPr>
              <w:t>调价函</w:t>
            </w:r>
          </w:p>
        </w:tc>
        <w:tc>
          <w:tcPr>
            <w:tcW w:w="3699" w:type="pct"/>
            <w:tcBorders>
              <w:bottom w:val="single" w:color="auto" w:sz="4" w:space="0"/>
            </w:tcBorders>
            <w:vAlign w:val="center"/>
          </w:tcPr>
          <w:p w14:paraId="3320F453">
            <w:pPr>
              <w:pStyle w:val="35"/>
              <w:pBdr>
                <w:bottom w:val="none" w:color="auto" w:sz="0" w:space="0"/>
              </w:pBdr>
              <w:tabs>
                <w:tab w:val="clear" w:pos="4153"/>
                <w:tab w:val="clear" w:pos="8306"/>
              </w:tabs>
              <w:adjustRightInd w:val="0"/>
              <w:spacing w:line="340" w:lineRule="exact"/>
              <w:jc w:val="both"/>
              <w:rPr>
                <w:rFonts w:hint="eastAsia" w:ascii="宋体" w:hAnsi="宋体"/>
                <w:bCs/>
                <w:kern w:val="2"/>
                <w:sz w:val="21"/>
                <w:szCs w:val="21"/>
                <w:highlight w:val="none"/>
              </w:rPr>
            </w:pPr>
            <w:r>
              <w:rPr>
                <w:rFonts w:ascii="宋体" w:hAnsi="宋体"/>
                <w:bCs/>
                <w:kern w:val="2"/>
                <w:sz w:val="21"/>
                <w:szCs w:val="21"/>
                <w:highlight w:val="none"/>
              </w:rPr>
              <w:t>否</w:t>
            </w:r>
          </w:p>
        </w:tc>
      </w:tr>
      <w:tr w14:paraId="61326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558" w:hRule="atLeast"/>
          <w:jc w:val="center"/>
        </w:trPr>
        <w:tc>
          <w:tcPr>
            <w:tcW w:w="490" w:type="pct"/>
            <w:vAlign w:val="center"/>
          </w:tcPr>
          <w:p w14:paraId="3A1C30DC">
            <w:pPr>
              <w:adjustRightInd w:val="0"/>
              <w:snapToGrid w:val="0"/>
              <w:spacing w:line="340" w:lineRule="exact"/>
              <w:jc w:val="center"/>
              <w:rPr>
                <w:rFonts w:hint="eastAsia" w:ascii="宋体" w:hAnsi="宋体"/>
                <w:bCs/>
                <w:szCs w:val="21"/>
                <w:highlight w:val="none"/>
              </w:rPr>
            </w:pPr>
            <w:r>
              <w:rPr>
                <w:rFonts w:hint="eastAsia" w:ascii="宋体" w:hAnsi="宋体"/>
                <w:bCs/>
                <w:szCs w:val="21"/>
                <w:highlight w:val="none"/>
              </w:rPr>
              <w:t>3.2.8</w:t>
            </w:r>
          </w:p>
        </w:tc>
        <w:tc>
          <w:tcPr>
            <w:tcW w:w="811" w:type="pct"/>
            <w:vAlign w:val="center"/>
          </w:tcPr>
          <w:p w14:paraId="668B32C6">
            <w:pPr>
              <w:adjustRightInd w:val="0"/>
              <w:snapToGrid w:val="0"/>
              <w:spacing w:line="340" w:lineRule="exact"/>
              <w:jc w:val="center"/>
              <w:rPr>
                <w:rFonts w:hint="eastAsia" w:ascii="宋体" w:hAnsi="宋体"/>
                <w:bCs/>
                <w:szCs w:val="21"/>
                <w:highlight w:val="none"/>
              </w:rPr>
            </w:pPr>
            <w:r>
              <w:rPr>
                <w:rFonts w:hint="eastAsia" w:ascii="宋体" w:hAnsi="宋体"/>
                <w:bCs/>
                <w:szCs w:val="21"/>
                <w:highlight w:val="none"/>
              </w:rPr>
              <w:t>最高投标限价</w:t>
            </w:r>
          </w:p>
        </w:tc>
        <w:tc>
          <w:tcPr>
            <w:tcW w:w="3699" w:type="pct"/>
            <w:vAlign w:val="center"/>
          </w:tcPr>
          <w:tbl>
            <w:tblPr>
              <w:tblStyle w:val="57"/>
              <w:tblpPr w:leftFromText="180" w:rightFromText="180" w:vertAnchor="text" w:horzAnchor="margin" w:tblpXSpec="center" w:tblpY="318"/>
              <w:tblOverlap w:val="never"/>
              <w:tblW w:w="5714" w:type="dxa"/>
              <w:tblInd w:w="0" w:type="dxa"/>
              <w:tblLayout w:type="autofit"/>
              <w:tblCellMar>
                <w:top w:w="0" w:type="dxa"/>
                <w:left w:w="108" w:type="dxa"/>
                <w:bottom w:w="0" w:type="dxa"/>
                <w:right w:w="108" w:type="dxa"/>
              </w:tblCellMar>
            </w:tblPr>
            <w:tblGrid>
              <w:gridCol w:w="1696"/>
              <w:gridCol w:w="4018"/>
            </w:tblGrid>
            <w:tr w14:paraId="1E9EA55D">
              <w:tblPrEx>
                <w:tblCellMar>
                  <w:top w:w="0" w:type="dxa"/>
                  <w:left w:w="108" w:type="dxa"/>
                  <w:bottom w:w="0" w:type="dxa"/>
                  <w:right w:w="108" w:type="dxa"/>
                </w:tblCellMar>
              </w:tblPrEx>
              <w:trPr>
                <w:trHeight w:val="408" w:hRule="atLeast"/>
              </w:trPr>
              <w:tc>
                <w:tcPr>
                  <w:tcW w:w="1696" w:type="dxa"/>
                  <w:tcBorders>
                    <w:top w:val="single" w:color="auto" w:sz="4" w:space="0"/>
                    <w:left w:val="single" w:color="auto" w:sz="4" w:space="0"/>
                    <w:bottom w:val="single" w:color="auto" w:sz="4" w:space="0"/>
                    <w:right w:val="single" w:color="auto" w:sz="4" w:space="0"/>
                  </w:tcBorders>
                  <w:vAlign w:val="center"/>
                </w:tcPr>
                <w:p w14:paraId="0CBD4452">
                  <w:pPr>
                    <w:widowControl/>
                    <w:jc w:val="center"/>
                    <w:rPr>
                      <w:rFonts w:hint="eastAsia" w:ascii="黑体" w:hAnsi="黑体" w:eastAsia="黑体" w:cs="宋体"/>
                      <w:color w:val="000000"/>
                      <w:kern w:val="0"/>
                      <w:szCs w:val="21"/>
                      <w:highlight w:val="none"/>
                    </w:rPr>
                  </w:pPr>
                  <w:bookmarkStart w:id="81" w:name="OLE_LINK33"/>
                  <w:r>
                    <w:rPr>
                      <w:rFonts w:ascii="黑体" w:hAnsi="黑体" w:eastAsia="黑体" w:cs="宋体"/>
                      <w:color w:val="000000"/>
                      <w:kern w:val="0"/>
                      <w:szCs w:val="21"/>
                      <w:highlight w:val="none"/>
                    </w:rPr>
                    <w:t>标段号</w:t>
                  </w:r>
                </w:p>
              </w:tc>
              <w:tc>
                <w:tcPr>
                  <w:tcW w:w="4018" w:type="dxa"/>
                  <w:tcBorders>
                    <w:top w:val="single" w:color="auto" w:sz="4" w:space="0"/>
                    <w:left w:val="nil"/>
                    <w:bottom w:val="single" w:color="auto" w:sz="4" w:space="0"/>
                    <w:right w:val="single" w:color="auto" w:sz="4" w:space="0"/>
                  </w:tcBorders>
                  <w:vAlign w:val="center"/>
                </w:tcPr>
                <w:p w14:paraId="53F2A487">
                  <w:pPr>
                    <w:widowControl/>
                    <w:jc w:val="left"/>
                    <w:rPr>
                      <w:rFonts w:hint="eastAsia" w:ascii="黑体" w:hAnsi="黑体" w:eastAsia="黑体" w:cs="宋体"/>
                      <w:color w:val="000000"/>
                      <w:kern w:val="0"/>
                      <w:szCs w:val="21"/>
                      <w:highlight w:val="none"/>
                    </w:rPr>
                  </w:pPr>
                  <w:r>
                    <w:rPr>
                      <w:rFonts w:ascii="黑体" w:hAnsi="黑体" w:eastAsia="黑体" w:cs="宋体"/>
                      <w:color w:val="000000"/>
                      <w:kern w:val="0"/>
                      <w:szCs w:val="21"/>
                      <w:highlight w:val="none"/>
                    </w:rPr>
                    <w:t xml:space="preserve"> 最高投标限价（其中含暂列金额0元） </w:t>
                  </w:r>
                </w:p>
              </w:tc>
            </w:tr>
            <w:tr w14:paraId="127A5E7D">
              <w:tblPrEx>
                <w:tblCellMar>
                  <w:top w:w="0" w:type="dxa"/>
                  <w:left w:w="108" w:type="dxa"/>
                  <w:bottom w:w="0" w:type="dxa"/>
                  <w:right w:w="108" w:type="dxa"/>
                </w:tblCellMar>
              </w:tblPrEx>
              <w:trPr>
                <w:trHeight w:val="422" w:hRule="atLeast"/>
              </w:trPr>
              <w:tc>
                <w:tcPr>
                  <w:tcW w:w="1696" w:type="dxa"/>
                  <w:tcBorders>
                    <w:top w:val="nil"/>
                    <w:left w:val="single" w:color="auto" w:sz="4" w:space="0"/>
                    <w:bottom w:val="single" w:color="auto" w:sz="4" w:space="0"/>
                    <w:right w:val="single" w:color="auto" w:sz="4" w:space="0"/>
                  </w:tcBorders>
                  <w:vAlign w:val="center"/>
                </w:tcPr>
                <w:p w14:paraId="473A9DDA">
                  <w:pPr>
                    <w:widowControl/>
                    <w:jc w:val="center"/>
                    <w:rPr>
                      <w:rFonts w:hint="eastAsia" w:ascii="黑体" w:hAnsi="黑体" w:eastAsia="黑体" w:cs="宋体"/>
                      <w:color w:val="000000"/>
                      <w:kern w:val="0"/>
                      <w:szCs w:val="21"/>
                      <w:highlight w:val="none"/>
                    </w:rPr>
                  </w:pPr>
                  <w:r>
                    <w:rPr>
                      <w:rFonts w:hint="eastAsia" w:ascii="黑体" w:hAnsi="黑体" w:eastAsia="黑体"/>
                      <w:color w:val="000000"/>
                      <w:sz w:val="20"/>
                      <w:szCs w:val="20"/>
                      <w:highlight w:val="none"/>
                    </w:rPr>
                    <w:t>YB26YH03</w:t>
                  </w:r>
                </w:p>
              </w:tc>
              <w:tc>
                <w:tcPr>
                  <w:tcW w:w="4018" w:type="dxa"/>
                  <w:tcBorders>
                    <w:top w:val="nil"/>
                    <w:left w:val="nil"/>
                    <w:bottom w:val="single" w:color="auto" w:sz="4" w:space="0"/>
                    <w:right w:val="single" w:color="auto" w:sz="4" w:space="0"/>
                  </w:tcBorders>
                  <w:vAlign w:val="center"/>
                </w:tcPr>
                <w:p w14:paraId="2EC68F76">
                  <w:pPr>
                    <w:widowControl/>
                    <w:jc w:val="center"/>
                    <w:rPr>
                      <w:rFonts w:hint="eastAsia" w:ascii="黑体" w:hAnsi="黑体" w:eastAsia="黑体" w:cs="宋体"/>
                      <w:color w:val="000000"/>
                      <w:kern w:val="0"/>
                      <w:szCs w:val="21"/>
                      <w:highlight w:val="none"/>
                    </w:rPr>
                  </w:pPr>
                  <w:r>
                    <w:rPr>
                      <w:rFonts w:hint="eastAsia" w:ascii="黑体" w:hAnsi="黑体" w:eastAsia="黑体"/>
                      <w:color w:val="000000"/>
                      <w:sz w:val="20"/>
                      <w:szCs w:val="20"/>
                      <w:highlight w:val="none"/>
                    </w:rPr>
                    <w:t xml:space="preserve">     33,375,003 元</w:t>
                  </w:r>
                </w:p>
              </w:tc>
            </w:tr>
            <w:tr w14:paraId="4F23DF21">
              <w:tblPrEx>
                <w:tblCellMar>
                  <w:top w:w="0" w:type="dxa"/>
                  <w:left w:w="108" w:type="dxa"/>
                  <w:bottom w:w="0" w:type="dxa"/>
                  <w:right w:w="108" w:type="dxa"/>
                </w:tblCellMar>
              </w:tblPrEx>
              <w:trPr>
                <w:trHeight w:val="408" w:hRule="atLeast"/>
              </w:trPr>
              <w:tc>
                <w:tcPr>
                  <w:tcW w:w="1696" w:type="dxa"/>
                  <w:tcBorders>
                    <w:top w:val="nil"/>
                    <w:left w:val="single" w:color="auto" w:sz="4" w:space="0"/>
                    <w:bottom w:val="single" w:color="auto" w:sz="4" w:space="0"/>
                    <w:right w:val="single" w:color="auto" w:sz="4" w:space="0"/>
                  </w:tcBorders>
                  <w:vAlign w:val="center"/>
                </w:tcPr>
                <w:p w14:paraId="7B8792DC">
                  <w:pPr>
                    <w:widowControl/>
                    <w:jc w:val="center"/>
                    <w:rPr>
                      <w:rFonts w:hint="eastAsia" w:ascii="黑体" w:hAnsi="黑体" w:eastAsia="黑体" w:cs="宋体"/>
                      <w:color w:val="000000"/>
                      <w:kern w:val="0"/>
                      <w:szCs w:val="21"/>
                      <w:highlight w:val="none"/>
                    </w:rPr>
                  </w:pPr>
                  <w:r>
                    <w:rPr>
                      <w:rFonts w:hint="eastAsia" w:ascii="黑体" w:hAnsi="黑体" w:eastAsia="黑体"/>
                      <w:color w:val="000000"/>
                      <w:sz w:val="20"/>
                      <w:szCs w:val="20"/>
                      <w:highlight w:val="none"/>
                    </w:rPr>
                    <w:t>YB26YH04</w:t>
                  </w:r>
                </w:p>
              </w:tc>
              <w:tc>
                <w:tcPr>
                  <w:tcW w:w="4018" w:type="dxa"/>
                  <w:tcBorders>
                    <w:top w:val="nil"/>
                    <w:left w:val="nil"/>
                    <w:bottom w:val="single" w:color="auto" w:sz="4" w:space="0"/>
                    <w:right w:val="single" w:color="auto" w:sz="4" w:space="0"/>
                  </w:tcBorders>
                  <w:vAlign w:val="center"/>
                </w:tcPr>
                <w:p w14:paraId="1B19FDA2">
                  <w:pPr>
                    <w:widowControl/>
                    <w:jc w:val="center"/>
                    <w:rPr>
                      <w:rFonts w:hint="eastAsia" w:ascii="黑体" w:hAnsi="黑体" w:eastAsia="黑体" w:cs="宋体"/>
                      <w:color w:val="000000"/>
                      <w:kern w:val="0"/>
                      <w:szCs w:val="21"/>
                      <w:highlight w:val="none"/>
                    </w:rPr>
                  </w:pPr>
                  <w:r>
                    <w:rPr>
                      <w:rFonts w:hint="eastAsia" w:ascii="黑体" w:hAnsi="黑体" w:eastAsia="黑体"/>
                      <w:color w:val="000000"/>
                      <w:sz w:val="20"/>
                      <w:szCs w:val="20"/>
                      <w:highlight w:val="none"/>
                    </w:rPr>
                    <w:t xml:space="preserve">     41,146,399 元</w:t>
                  </w:r>
                </w:p>
              </w:tc>
            </w:tr>
            <w:tr w14:paraId="0104C0E4">
              <w:tblPrEx>
                <w:tblCellMar>
                  <w:top w:w="0" w:type="dxa"/>
                  <w:left w:w="108" w:type="dxa"/>
                  <w:bottom w:w="0" w:type="dxa"/>
                  <w:right w:w="108" w:type="dxa"/>
                </w:tblCellMar>
              </w:tblPrEx>
              <w:trPr>
                <w:trHeight w:val="408" w:hRule="atLeast"/>
              </w:trPr>
              <w:tc>
                <w:tcPr>
                  <w:tcW w:w="1696" w:type="dxa"/>
                  <w:tcBorders>
                    <w:top w:val="nil"/>
                    <w:left w:val="single" w:color="auto" w:sz="4" w:space="0"/>
                    <w:bottom w:val="single" w:color="auto" w:sz="4" w:space="0"/>
                    <w:right w:val="single" w:color="auto" w:sz="4" w:space="0"/>
                  </w:tcBorders>
                  <w:vAlign w:val="center"/>
                </w:tcPr>
                <w:p w14:paraId="2E33E66E">
                  <w:pPr>
                    <w:widowControl/>
                    <w:jc w:val="center"/>
                    <w:rPr>
                      <w:rFonts w:hint="eastAsia" w:ascii="黑体" w:hAnsi="黑体" w:eastAsia="黑体" w:cs="宋体"/>
                      <w:color w:val="000000"/>
                      <w:kern w:val="0"/>
                      <w:szCs w:val="21"/>
                      <w:highlight w:val="none"/>
                    </w:rPr>
                  </w:pPr>
                  <w:r>
                    <w:rPr>
                      <w:rFonts w:hint="eastAsia" w:ascii="黑体" w:hAnsi="黑体" w:eastAsia="黑体"/>
                      <w:color w:val="000000"/>
                      <w:sz w:val="20"/>
                      <w:szCs w:val="20"/>
                      <w:highlight w:val="none"/>
                    </w:rPr>
                    <w:t>YB26YH05</w:t>
                  </w:r>
                </w:p>
              </w:tc>
              <w:tc>
                <w:tcPr>
                  <w:tcW w:w="4018" w:type="dxa"/>
                  <w:tcBorders>
                    <w:top w:val="nil"/>
                    <w:left w:val="nil"/>
                    <w:bottom w:val="single" w:color="auto" w:sz="4" w:space="0"/>
                    <w:right w:val="single" w:color="auto" w:sz="4" w:space="0"/>
                  </w:tcBorders>
                  <w:vAlign w:val="center"/>
                </w:tcPr>
                <w:p w14:paraId="181BE3F4">
                  <w:pPr>
                    <w:widowControl/>
                    <w:jc w:val="center"/>
                    <w:rPr>
                      <w:rFonts w:hint="eastAsia" w:ascii="黑体" w:hAnsi="黑体" w:eastAsia="黑体" w:cs="宋体"/>
                      <w:color w:val="000000"/>
                      <w:kern w:val="0"/>
                      <w:szCs w:val="21"/>
                      <w:highlight w:val="none"/>
                    </w:rPr>
                  </w:pPr>
                  <w:r>
                    <w:rPr>
                      <w:rFonts w:hint="eastAsia" w:ascii="黑体" w:hAnsi="黑体" w:eastAsia="黑体"/>
                      <w:color w:val="000000"/>
                      <w:sz w:val="20"/>
                      <w:szCs w:val="20"/>
                      <w:highlight w:val="none"/>
                    </w:rPr>
                    <w:t xml:space="preserve">     25,693,793 元</w:t>
                  </w:r>
                </w:p>
              </w:tc>
            </w:tr>
            <w:tr w14:paraId="2D227E4D">
              <w:tblPrEx>
                <w:tblCellMar>
                  <w:top w:w="0" w:type="dxa"/>
                  <w:left w:w="108" w:type="dxa"/>
                  <w:bottom w:w="0" w:type="dxa"/>
                  <w:right w:w="108" w:type="dxa"/>
                </w:tblCellMar>
              </w:tblPrEx>
              <w:trPr>
                <w:trHeight w:val="408" w:hRule="atLeast"/>
              </w:trPr>
              <w:tc>
                <w:tcPr>
                  <w:tcW w:w="1696" w:type="dxa"/>
                  <w:tcBorders>
                    <w:top w:val="nil"/>
                    <w:left w:val="single" w:color="auto" w:sz="4" w:space="0"/>
                    <w:bottom w:val="single" w:color="auto" w:sz="4" w:space="0"/>
                    <w:right w:val="single" w:color="auto" w:sz="4" w:space="0"/>
                  </w:tcBorders>
                  <w:vAlign w:val="center"/>
                </w:tcPr>
                <w:p w14:paraId="2E68959D">
                  <w:pPr>
                    <w:widowControl/>
                    <w:jc w:val="center"/>
                    <w:rPr>
                      <w:rFonts w:hint="eastAsia" w:ascii="黑体" w:hAnsi="黑体" w:eastAsia="黑体" w:cs="宋体"/>
                      <w:color w:val="000000"/>
                      <w:kern w:val="0"/>
                      <w:szCs w:val="21"/>
                      <w:highlight w:val="none"/>
                    </w:rPr>
                  </w:pPr>
                  <w:r>
                    <w:rPr>
                      <w:rFonts w:hint="eastAsia" w:ascii="黑体" w:hAnsi="黑体" w:eastAsia="黑体"/>
                      <w:color w:val="000000"/>
                      <w:sz w:val="20"/>
                      <w:szCs w:val="20"/>
                      <w:highlight w:val="none"/>
                    </w:rPr>
                    <w:t>YB26YH06</w:t>
                  </w:r>
                </w:p>
              </w:tc>
              <w:tc>
                <w:tcPr>
                  <w:tcW w:w="4018" w:type="dxa"/>
                  <w:tcBorders>
                    <w:top w:val="nil"/>
                    <w:left w:val="nil"/>
                    <w:bottom w:val="single" w:color="auto" w:sz="4" w:space="0"/>
                    <w:right w:val="single" w:color="auto" w:sz="4" w:space="0"/>
                  </w:tcBorders>
                  <w:vAlign w:val="center"/>
                </w:tcPr>
                <w:p w14:paraId="7D407702">
                  <w:pPr>
                    <w:widowControl/>
                    <w:jc w:val="center"/>
                    <w:rPr>
                      <w:rFonts w:hint="eastAsia" w:ascii="黑体" w:hAnsi="黑体" w:eastAsia="黑体" w:cs="宋体"/>
                      <w:color w:val="000000"/>
                      <w:kern w:val="0"/>
                      <w:szCs w:val="21"/>
                      <w:highlight w:val="none"/>
                    </w:rPr>
                  </w:pPr>
                  <w:r>
                    <w:rPr>
                      <w:rFonts w:hint="eastAsia" w:ascii="黑体" w:hAnsi="黑体" w:eastAsia="黑体"/>
                      <w:color w:val="000000"/>
                      <w:sz w:val="20"/>
                      <w:szCs w:val="20"/>
                      <w:highlight w:val="none"/>
                    </w:rPr>
                    <w:t xml:space="preserve">     31,934,916 元</w:t>
                  </w:r>
                </w:p>
              </w:tc>
            </w:tr>
            <w:tr w14:paraId="20D13008">
              <w:tblPrEx>
                <w:tblCellMar>
                  <w:top w:w="0" w:type="dxa"/>
                  <w:left w:w="108" w:type="dxa"/>
                  <w:bottom w:w="0" w:type="dxa"/>
                  <w:right w:w="108" w:type="dxa"/>
                </w:tblCellMar>
              </w:tblPrEx>
              <w:trPr>
                <w:trHeight w:val="408" w:hRule="atLeast"/>
              </w:trPr>
              <w:tc>
                <w:tcPr>
                  <w:tcW w:w="1696" w:type="dxa"/>
                  <w:tcBorders>
                    <w:top w:val="nil"/>
                    <w:left w:val="single" w:color="auto" w:sz="4" w:space="0"/>
                    <w:bottom w:val="single" w:color="auto" w:sz="4" w:space="0"/>
                    <w:right w:val="single" w:color="auto" w:sz="4" w:space="0"/>
                  </w:tcBorders>
                  <w:vAlign w:val="center"/>
                </w:tcPr>
                <w:p w14:paraId="1F5427DE">
                  <w:pPr>
                    <w:widowControl/>
                    <w:jc w:val="center"/>
                    <w:rPr>
                      <w:rFonts w:hint="eastAsia" w:ascii="黑体" w:hAnsi="黑体" w:eastAsia="黑体" w:cs="宋体"/>
                      <w:color w:val="000000"/>
                      <w:kern w:val="0"/>
                      <w:szCs w:val="21"/>
                      <w:highlight w:val="none"/>
                    </w:rPr>
                  </w:pPr>
                  <w:r>
                    <w:rPr>
                      <w:rFonts w:hint="eastAsia" w:ascii="黑体" w:hAnsi="黑体" w:eastAsia="黑体"/>
                      <w:color w:val="000000"/>
                      <w:sz w:val="20"/>
                      <w:szCs w:val="20"/>
                      <w:highlight w:val="none"/>
                    </w:rPr>
                    <w:t>YB26YH07</w:t>
                  </w:r>
                </w:p>
              </w:tc>
              <w:tc>
                <w:tcPr>
                  <w:tcW w:w="4018" w:type="dxa"/>
                  <w:tcBorders>
                    <w:top w:val="nil"/>
                    <w:left w:val="nil"/>
                    <w:bottom w:val="single" w:color="auto" w:sz="4" w:space="0"/>
                    <w:right w:val="single" w:color="auto" w:sz="4" w:space="0"/>
                  </w:tcBorders>
                  <w:vAlign w:val="center"/>
                </w:tcPr>
                <w:p w14:paraId="7A8A2598">
                  <w:pPr>
                    <w:widowControl/>
                    <w:jc w:val="center"/>
                    <w:rPr>
                      <w:rFonts w:hint="eastAsia" w:ascii="黑体" w:hAnsi="黑体" w:eastAsia="黑体" w:cs="宋体"/>
                      <w:color w:val="000000"/>
                      <w:kern w:val="0"/>
                      <w:szCs w:val="21"/>
                      <w:highlight w:val="none"/>
                    </w:rPr>
                  </w:pPr>
                  <w:r>
                    <w:rPr>
                      <w:rFonts w:hint="eastAsia" w:ascii="黑体" w:hAnsi="黑体" w:eastAsia="黑体"/>
                      <w:color w:val="000000"/>
                      <w:sz w:val="20"/>
                      <w:szCs w:val="20"/>
                      <w:highlight w:val="none"/>
                    </w:rPr>
                    <w:t xml:space="preserve">     30,869,617 元</w:t>
                  </w:r>
                </w:p>
              </w:tc>
            </w:tr>
            <w:tr w14:paraId="7C3F08E3">
              <w:tblPrEx>
                <w:tblCellMar>
                  <w:top w:w="0" w:type="dxa"/>
                  <w:left w:w="108" w:type="dxa"/>
                  <w:bottom w:w="0" w:type="dxa"/>
                  <w:right w:w="108" w:type="dxa"/>
                </w:tblCellMar>
              </w:tblPrEx>
              <w:trPr>
                <w:trHeight w:val="408" w:hRule="atLeast"/>
              </w:trPr>
              <w:tc>
                <w:tcPr>
                  <w:tcW w:w="1696" w:type="dxa"/>
                  <w:tcBorders>
                    <w:top w:val="nil"/>
                    <w:left w:val="single" w:color="auto" w:sz="4" w:space="0"/>
                    <w:bottom w:val="single" w:color="auto" w:sz="4" w:space="0"/>
                    <w:right w:val="single" w:color="auto" w:sz="4" w:space="0"/>
                  </w:tcBorders>
                  <w:vAlign w:val="center"/>
                </w:tcPr>
                <w:p w14:paraId="142C6778">
                  <w:pPr>
                    <w:widowControl/>
                    <w:jc w:val="center"/>
                    <w:rPr>
                      <w:rFonts w:hint="eastAsia" w:ascii="黑体" w:hAnsi="黑体" w:eastAsia="黑体" w:cs="宋体"/>
                      <w:color w:val="000000"/>
                      <w:kern w:val="0"/>
                      <w:szCs w:val="21"/>
                      <w:highlight w:val="none"/>
                    </w:rPr>
                  </w:pPr>
                  <w:r>
                    <w:rPr>
                      <w:rFonts w:hint="eastAsia" w:ascii="黑体" w:hAnsi="黑体" w:eastAsia="黑体"/>
                      <w:color w:val="000000"/>
                      <w:sz w:val="20"/>
                      <w:szCs w:val="20"/>
                      <w:highlight w:val="none"/>
                    </w:rPr>
                    <w:t>YB26YH08</w:t>
                  </w:r>
                </w:p>
              </w:tc>
              <w:tc>
                <w:tcPr>
                  <w:tcW w:w="4018" w:type="dxa"/>
                  <w:tcBorders>
                    <w:top w:val="nil"/>
                    <w:left w:val="nil"/>
                    <w:bottom w:val="single" w:color="auto" w:sz="4" w:space="0"/>
                    <w:right w:val="single" w:color="auto" w:sz="4" w:space="0"/>
                  </w:tcBorders>
                  <w:vAlign w:val="center"/>
                </w:tcPr>
                <w:p w14:paraId="068A21CA">
                  <w:pPr>
                    <w:widowControl/>
                    <w:jc w:val="center"/>
                    <w:rPr>
                      <w:rFonts w:hint="eastAsia" w:ascii="黑体" w:hAnsi="黑体" w:eastAsia="黑体" w:cs="宋体"/>
                      <w:color w:val="000000"/>
                      <w:kern w:val="0"/>
                      <w:szCs w:val="21"/>
                      <w:highlight w:val="none"/>
                    </w:rPr>
                  </w:pPr>
                  <w:r>
                    <w:rPr>
                      <w:rFonts w:hint="eastAsia" w:ascii="黑体" w:hAnsi="黑体" w:eastAsia="黑体"/>
                      <w:color w:val="000000"/>
                      <w:sz w:val="20"/>
                      <w:szCs w:val="20"/>
                      <w:highlight w:val="none"/>
                    </w:rPr>
                    <w:t xml:space="preserve">     41,989,995 元</w:t>
                  </w:r>
                </w:p>
              </w:tc>
            </w:tr>
          </w:tbl>
          <w:p w14:paraId="50D624BF">
            <w:pPr>
              <w:widowControl/>
              <w:spacing w:line="340" w:lineRule="exact"/>
              <w:jc w:val="left"/>
              <w:rPr>
                <w:rFonts w:hint="eastAsia" w:ascii="黑体" w:hAnsi="黑体" w:eastAsia="黑体"/>
                <w:bCs/>
                <w:szCs w:val="21"/>
                <w:highlight w:val="none"/>
              </w:rPr>
            </w:pPr>
          </w:p>
          <w:bookmarkEnd w:id="81"/>
          <w:p w14:paraId="0527C161">
            <w:pPr>
              <w:widowControl/>
              <w:spacing w:line="340" w:lineRule="exact"/>
              <w:jc w:val="left"/>
              <w:rPr>
                <w:rFonts w:hint="eastAsia" w:ascii="黑体" w:hAnsi="黑体" w:eastAsia="黑体"/>
                <w:bCs/>
                <w:szCs w:val="21"/>
                <w:highlight w:val="none"/>
              </w:rPr>
            </w:pPr>
          </w:p>
        </w:tc>
      </w:tr>
      <w:tr w14:paraId="3AF3C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490" w:type="pct"/>
            <w:vAlign w:val="center"/>
          </w:tcPr>
          <w:p w14:paraId="666033DA">
            <w:pPr>
              <w:adjustRightInd w:val="0"/>
              <w:snapToGrid w:val="0"/>
              <w:spacing w:line="340" w:lineRule="exact"/>
              <w:jc w:val="center"/>
              <w:rPr>
                <w:rFonts w:hint="eastAsia" w:ascii="宋体" w:hAnsi="宋体"/>
                <w:bCs/>
                <w:szCs w:val="21"/>
                <w:highlight w:val="none"/>
              </w:rPr>
            </w:pPr>
            <w:r>
              <w:rPr>
                <w:rFonts w:hint="eastAsia" w:ascii="宋体" w:hAnsi="宋体"/>
                <w:bCs/>
                <w:szCs w:val="21"/>
                <w:highlight w:val="none"/>
              </w:rPr>
              <w:t>3.2.9</w:t>
            </w:r>
          </w:p>
        </w:tc>
        <w:tc>
          <w:tcPr>
            <w:tcW w:w="811" w:type="pct"/>
            <w:vAlign w:val="center"/>
          </w:tcPr>
          <w:p w14:paraId="13B2321A">
            <w:pPr>
              <w:adjustRightInd w:val="0"/>
              <w:snapToGrid w:val="0"/>
              <w:spacing w:line="340" w:lineRule="exact"/>
              <w:jc w:val="center"/>
              <w:rPr>
                <w:rFonts w:hint="eastAsia" w:ascii="宋体" w:hAnsi="宋体"/>
                <w:bCs/>
                <w:szCs w:val="21"/>
                <w:highlight w:val="none"/>
              </w:rPr>
            </w:pPr>
            <w:r>
              <w:rPr>
                <w:rFonts w:hint="eastAsia" w:ascii="宋体" w:hAnsi="宋体"/>
                <w:bCs/>
                <w:szCs w:val="21"/>
                <w:highlight w:val="none"/>
              </w:rPr>
              <w:t>投标报价的</w:t>
            </w:r>
            <w:r>
              <w:rPr>
                <w:rFonts w:ascii="宋体" w:hAnsi="宋体"/>
                <w:bCs/>
                <w:szCs w:val="21"/>
                <w:highlight w:val="none"/>
              </w:rPr>
              <w:br w:type="textWrapping"/>
            </w:r>
            <w:r>
              <w:rPr>
                <w:rFonts w:hint="eastAsia" w:ascii="宋体" w:hAnsi="宋体"/>
                <w:bCs/>
                <w:szCs w:val="21"/>
                <w:highlight w:val="none"/>
              </w:rPr>
              <w:t>其他要求</w:t>
            </w:r>
          </w:p>
        </w:tc>
        <w:tc>
          <w:tcPr>
            <w:tcW w:w="3699" w:type="pct"/>
            <w:vAlign w:val="center"/>
          </w:tcPr>
          <w:p w14:paraId="3638C53F">
            <w:pPr>
              <w:adjustRightInd w:val="0"/>
              <w:snapToGrid w:val="0"/>
              <w:spacing w:line="340" w:lineRule="exact"/>
              <w:rPr>
                <w:rFonts w:hint="eastAsia" w:ascii="黑体" w:hAnsi="黑体" w:eastAsia="黑体"/>
                <w:bCs/>
                <w:szCs w:val="21"/>
                <w:highlight w:val="none"/>
              </w:rPr>
            </w:pPr>
            <w:r>
              <w:rPr>
                <w:rFonts w:hint="eastAsia" w:ascii="黑体" w:hAnsi="黑体" w:eastAsia="黑体"/>
                <w:bCs/>
                <w:szCs w:val="21"/>
                <w:highlight w:val="none"/>
              </w:rPr>
              <w:t>/</w:t>
            </w:r>
          </w:p>
        </w:tc>
      </w:tr>
      <w:tr w14:paraId="14439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490" w:type="pct"/>
            <w:vAlign w:val="center"/>
          </w:tcPr>
          <w:p w14:paraId="34E8A6C8">
            <w:pPr>
              <w:adjustRightInd w:val="0"/>
              <w:snapToGrid w:val="0"/>
              <w:spacing w:line="340" w:lineRule="exact"/>
              <w:jc w:val="center"/>
              <w:rPr>
                <w:rFonts w:hint="eastAsia" w:ascii="宋体" w:hAnsi="宋体"/>
                <w:bCs/>
                <w:szCs w:val="21"/>
                <w:highlight w:val="none"/>
              </w:rPr>
            </w:pPr>
            <w:r>
              <w:rPr>
                <w:rFonts w:ascii="宋体" w:hAnsi="宋体"/>
                <w:bCs/>
                <w:szCs w:val="21"/>
                <w:highlight w:val="none"/>
              </w:rPr>
              <w:t>3.4.</w:t>
            </w:r>
            <w:r>
              <w:rPr>
                <w:rFonts w:hint="eastAsia" w:ascii="宋体" w:hAnsi="宋体"/>
                <w:bCs/>
                <w:szCs w:val="21"/>
                <w:highlight w:val="none"/>
              </w:rPr>
              <w:t>1</w:t>
            </w:r>
          </w:p>
        </w:tc>
        <w:tc>
          <w:tcPr>
            <w:tcW w:w="811" w:type="pct"/>
            <w:vAlign w:val="center"/>
          </w:tcPr>
          <w:p w14:paraId="5C53207E">
            <w:pPr>
              <w:adjustRightInd w:val="0"/>
              <w:snapToGrid w:val="0"/>
              <w:spacing w:line="340" w:lineRule="exact"/>
              <w:jc w:val="center"/>
              <w:rPr>
                <w:rFonts w:hint="eastAsia" w:ascii="宋体" w:hAnsi="宋体"/>
                <w:bCs/>
                <w:szCs w:val="21"/>
                <w:highlight w:val="none"/>
              </w:rPr>
            </w:pPr>
            <w:r>
              <w:rPr>
                <w:rFonts w:ascii="宋体" w:hAnsi="宋体"/>
                <w:bCs/>
                <w:szCs w:val="21"/>
                <w:highlight w:val="none"/>
              </w:rPr>
              <w:t>投标保证金</w:t>
            </w:r>
          </w:p>
          <w:p w14:paraId="7C1279CE">
            <w:pPr>
              <w:adjustRightInd w:val="0"/>
              <w:snapToGrid w:val="0"/>
              <w:spacing w:line="340" w:lineRule="exact"/>
              <w:jc w:val="center"/>
              <w:rPr>
                <w:rFonts w:hint="eastAsia" w:ascii="宋体" w:hAnsi="宋体"/>
                <w:bCs/>
                <w:szCs w:val="21"/>
                <w:highlight w:val="none"/>
              </w:rPr>
            </w:pPr>
            <w:r>
              <w:rPr>
                <w:rFonts w:hint="eastAsia" w:ascii="宋体" w:hAnsi="宋体"/>
                <w:bCs/>
                <w:szCs w:val="21"/>
                <w:highlight w:val="none"/>
              </w:rPr>
              <w:t>的递交</w:t>
            </w:r>
          </w:p>
        </w:tc>
        <w:tc>
          <w:tcPr>
            <w:tcW w:w="3699" w:type="pct"/>
            <w:vAlign w:val="center"/>
          </w:tcPr>
          <w:p w14:paraId="47B8BA98">
            <w:pPr>
              <w:snapToGrid w:val="0"/>
              <w:spacing w:line="340" w:lineRule="exact"/>
              <w:rPr>
                <w:rFonts w:hint="eastAsia" w:ascii="黑体" w:hAnsi="黑体" w:eastAsia="黑体"/>
                <w:bCs/>
                <w:szCs w:val="21"/>
                <w:highlight w:val="none"/>
              </w:rPr>
            </w:pPr>
            <w:r>
              <w:rPr>
                <w:rFonts w:hint="eastAsia" w:ascii="宋体" w:hAnsi="宋体"/>
                <w:bCs/>
                <w:kern w:val="0"/>
                <w:szCs w:val="21"/>
                <w:highlight w:val="none"/>
                <w:lang w:val="zh-CN"/>
              </w:rPr>
              <w:t>投标保证金的金额</w:t>
            </w:r>
            <w:r>
              <w:rPr>
                <w:rFonts w:hint="eastAsia" w:ascii="宋体" w:hAnsi="宋体"/>
                <w:bCs/>
                <w:szCs w:val="21"/>
                <w:highlight w:val="none"/>
              </w:rPr>
              <w:t>：</w:t>
            </w:r>
            <w:r>
              <w:rPr>
                <w:rFonts w:hint="eastAsia" w:ascii="黑体" w:hAnsi="黑体" w:eastAsia="黑体"/>
                <w:bCs/>
                <w:szCs w:val="21"/>
                <w:highlight w:val="none"/>
              </w:rPr>
              <w:t>20万元/标段</w:t>
            </w:r>
          </w:p>
          <w:p w14:paraId="7C7AF622">
            <w:pPr>
              <w:adjustRightInd w:val="0"/>
              <w:snapToGrid w:val="0"/>
              <w:spacing w:line="340" w:lineRule="exact"/>
              <w:jc w:val="left"/>
              <w:rPr>
                <w:rFonts w:hint="eastAsia" w:ascii="宋体" w:hAnsi="宋体"/>
                <w:bCs/>
                <w:szCs w:val="21"/>
                <w:highlight w:val="none"/>
              </w:rPr>
            </w:pPr>
            <w:r>
              <w:rPr>
                <w:rFonts w:hint="eastAsia" w:ascii="宋体" w:hAnsi="宋体"/>
                <w:bCs/>
                <w:szCs w:val="21"/>
                <w:highlight w:val="none"/>
              </w:rPr>
              <w:t>投标保证金的形式：现金、支票或电子保函。</w:t>
            </w:r>
          </w:p>
          <w:p w14:paraId="14417CDA">
            <w:pPr>
              <w:adjustRightInd w:val="0"/>
              <w:snapToGrid w:val="0"/>
              <w:spacing w:line="340" w:lineRule="exact"/>
              <w:ind w:firstLine="420" w:firstLineChars="200"/>
              <w:jc w:val="left"/>
              <w:rPr>
                <w:rFonts w:hint="eastAsia" w:ascii="宋体" w:hAnsi="宋体"/>
                <w:bCs/>
                <w:szCs w:val="21"/>
                <w:highlight w:val="none"/>
              </w:rPr>
            </w:pPr>
            <w:r>
              <w:rPr>
                <w:rFonts w:hint="eastAsia" w:ascii="宋体" w:hAnsi="宋体"/>
                <w:bCs/>
                <w:szCs w:val="21"/>
                <w:highlight w:val="none"/>
              </w:rPr>
              <w:fldChar w:fldCharType="begin"/>
            </w:r>
            <w:r>
              <w:rPr>
                <w:rFonts w:hint="eastAsia" w:ascii="宋体" w:hAnsi="宋体"/>
                <w:bCs/>
                <w:szCs w:val="21"/>
                <w:highlight w:val="none"/>
              </w:rPr>
              <w:instrText xml:space="preserve"> = 1 \* GB3 </w:instrText>
            </w:r>
            <w:r>
              <w:rPr>
                <w:rFonts w:hint="eastAsia" w:ascii="宋体" w:hAnsi="宋体"/>
                <w:bCs/>
                <w:szCs w:val="21"/>
                <w:highlight w:val="none"/>
              </w:rPr>
              <w:fldChar w:fldCharType="separate"/>
            </w:r>
            <w:r>
              <w:rPr>
                <w:rFonts w:hint="eastAsia" w:ascii="宋体" w:hAnsi="宋体"/>
                <w:bCs/>
                <w:szCs w:val="21"/>
                <w:highlight w:val="none"/>
              </w:rPr>
              <w:t>①</w:t>
            </w:r>
            <w:r>
              <w:rPr>
                <w:rFonts w:hint="eastAsia" w:ascii="宋体" w:hAnsi="宋体"/>
                <w:bCs/>
                <w:szCs w:val="21"/>
                <w:highlight w:val="none"/>
              </w:rPr>
              <w:fldChar w:fldCharType="end"/>
            </w:r>
            <w:r>
              <w:rPr>
                <w:rFonts w:hint="eastAsia" w:ascii="宋体" w:hAnsi="宋体"/>
                <w:bCs/>
                <w:szCs w:val="21"/>
                <w:highlight w:val="none"/>
              </w:rPr>
              <w:t>采用现金或支票形式的：应由投标人的基本账户一次性汇入招标人指定账户。投标人应保证上述款项在投标截止时间前到达招标人指定账户，否则视为投标保证金无效。</w:t>
            </w:r>
          </w:p>
          <w:p w14:paraId="2F5F6C78">
            <w:pPr>
              <w:adjustRightInd w:val="0"/>
              <w:snapToGrid w:val="0"/>
              <w:spacing w:line="340" w:lineRule="exact"/>
              <w:ind w:firstLine="420" w:firstLineChars="200"/>
              <w:jc w:val="left"/>
              <w:rPr>
                <w:rFonts w:hint="eastAsia" w:ascii="宋体" w:hAnsi="宋体"/>
                <w:bCs/>
                <w:szCs w:val="21"/>
                <w:highlight w:val="none"/>
              </w:rPr>
            </w:pPr>
            <w:r>
              <w:rPr>
                <w:rFonts w:hint="eastAsia" w:ascii="宋体" w:hAnsi="宋体"/>
                <w:bCs/>
                <w:szCs w:val="21"/>
                <w:highlight w:val="none"/>
              </w:rPr>
              <w:t>招标人指定的银行及账号如下：</w:t>
            </w:r>
          </w:p>
          <w:p w14:paraId="7AD1170D">
            <w:pPr>
              <w:adjustRightInd w:val="0"/>
              <w:snapToGrid w:val="0"/>
              <w:spacing w:line="340" w:lineRule="exact"/>
              <w:ind w:firstLine="420" w:firstLineChars="200"/>
              <w:jc w:val="left"/>
              <w:rPr>
                <w:rFonts w:hint="eastAsia" w:ascii="黑体" w:hAnsi="黑体" w:eastAsia="黑体"/>
                <w:bCs/>
                <w:szCs w:val="21"/>
                <w:highlight w:val="none"/>
              </w:rPr>
            </w:pPr>
            <w:r>
              <w:rPr>
                <w:rFonts w:hint="eastAsia" w:ascii="黑体" w:hAnsi="黑体" w:eastAsia="黑体"/>
                <w:bCs/>
                <w:szCs w:val="21"/>
                <w:highlight w:val="none"/>
              </w:rPr>
              <w:t xml:space="preserve">开户名称：吉林省伟邦公路技术有限公司 </w:t>
            </w:r>
          </w:p>
          <w:p w14:paraId="426E374C">
            <w:pPr>
              <w:adjustRightInd w:val="0"/>
              <w:snapToGrid w:val="0"/>
              <w:spacing w:line="340" w:lineRule="exact"/>
              <w:ind w:firstLine="420" w:firstLineChars="200"/>
              <w:jc w:val="left"/>
              <w:rPr>
                <w:rFonts w:hint="eastAsia" w:ascii="黑体" w:hAnsi="黑体" w:eastAsia="黑体"/>
                <w:bCs/>
                <w:szCs w:val="21"/>
                <w:highlight w:val="none"/>
              </w:rPr>
            </w:pPr>
            <w:r>
              <w:rPr>
                <w:rFonts w:hint="eastAsia" w:ascii="黑体" w:hAnsi="黑体" w:eastAsia="黑体"/>
                <w:bCs/>
                <w:szCs w:val="21"/>
                <w:highlight w:val="none"/>
              </w:rPr>
              <w:t xml:space="preserve">开户银行：建设银行九台支行 </w:t>
            </w:r>
          </w:p>
          <w:p w14:paraId="194C35E7">
            <w:pPr>
              <w:adjustRightInd w:val="0"/>
              <w:snapToGrid w:val="0"/>
              <w:spacing w:line="340" w:lineRule="exact"/>
              <w:ind w:firstLine="420" w:firstLineChars="200"/>
              <w:jc w:val="left"/>
              <w:rPr>
                <w:rFonts w:hint="eastAsia" w:ascii="黑体" w:hAnsi="黑体" w:eastAsia="黑体"/>
                <w:bCs/>
                <w:szCs w:val="21"/>
                <w:highlight w:val="none"/>
              </w:rPr>
            </w:pPr>
            <w:r>
              <w:rPr>
                <w:rFonts w:hint="eastAsia" w:ascii="黑体" w:hAnsi="黑体" w:eastAsia="黑体"/>
                <w:bCs/>
                <w:szCs w:val="21"/>
                <w:highlight w:val="none"/>
              </w:rPr>
              <w:t>银行账号：22001390100055001391</w:t>
            </w:r>
          </w:p>
          <w:p w14:paraId="1BBCA9D9">
            <w:pPr>
              <w:adjustRightInd w:val="0"/>
              <w:snapToGrid w:val="0"/>
              <w:spacing w:line="340" w:lineRule="exact"/>
              <w:ind w:firstLine="420" w:firstLineChars="200"/>
              <w:jc w:val="left"/>
              <w:rPr>
                <w:rFonts w:hint="eastAsia" w:ascii="宋体" w:hAnsi="宋体"/>
                <w:bCs/>
                <w:szCs w:val="21"/>
                <w:highlight w:val="none"/>
              </w:rPr>
            </w:pPr>
            <w:r>
              <w:rPr>
                <w:rFonts w:hint="eastAsia" w:ascii="宋体" w:hAnsi="宋体"/>
                <w:bCs/>
                <w:szCs w:val="21"/>
                <w:highlight w:val="none"/>
              </w:rPr>
              <w:t>银行转账业务备注栏填写：“</w:t>
            </w:r>
            <w:r>
              <w:rPr>
                <w:rFonts w:hint="eastAsia" w:ascii="黑体" w:hAnsi="黑体" w:eastAsia="黑体"/>
                <w:bCs/>
                <w:szCs w:val="21"/>
                <w:highlight w:val="none"/>
              </w:rPr>
              <w:t>延边路面提质施工招标</w:t>
            </w:r>
            <w:r>
              <w:rPr>
                <w:rFonts w:hint="eastAsia" w:ascii="黑体" w:hAnsi="黑体" w:eastAsia="黑体"/>
                <w:bCs/>
                <w:szCs w:val="21"/>
                <w:highlight w:val="none"/>
                <w:u w:val="single"/>
              </w:rPr>
              <w:t xml:space="preserve">  </w:t>
            </w:r>
            <w:r>
              <w:rPr>
                <w:rFonts w:hint="eastAsia" w:ascii="黑体" w:hAnsi="黑体" w:eastAsia="黑体"/>
                <w:bCs/>
                <w:szCs w:val="21"/>
                <w:highlight w:val="none"/>
              </w:rPr>
              <w:t>标段投标保证金</w:t>
            </w:r>
            <w:r>
              <w:rPr>
                <w:rFonts w:hint="eastAsia" w:ascii="黑体" w:hAnsi="黑体" w:eastAsia="黑体"/>
                <w:bCs/>
                <w:szCs w:val="21"/>
                <w:highlight w:val="none"/>
              </w:rPr>
              <w:t>”</w:t>
            </w:r>
            <w:r>
              <w:rPr>
                <w:rFonts w:hint="eastAsia" w:ascii="宋体" w:hAnsi="宋体"/>
                <w:bCs/>
                <w:szCs w:val="21"/>
                <w:highlight w:val="none"/>
              </w:rPr>
              <w:t>。</w:t>
            </w:r>
          </w:p>
          <w:p w14:paraId="53663D1F">
            <w:pPr>
              <w:adjustRightInd w:val="0"/>
              <w:snapToGrid w:val="0"/>
              <w:spacing w:line="340" w:lineRule="exact"/>
              <w:ind w:firstLine="420" w:firstLineChars="200"/>
              <w:jc w:val="left"/>
              <w:rPr>
                <w:rFonts w:hint="eastAsia" w:ascii="宋体" w:hAnsi="宋体"/>
                <w:bCs/>
                <w:kern w:val="0"/>
                <w:szCs w:val="21"/>
                <w:highlight w:val="none"/>
                <w:lang w:val="zh-CN"/>
              </w:rPr>
            </w:pPr>
            <w:r>
              <w:rPr>
                <w:rFonts w:hint="eastAsia" w:ascii="宋体" w:hAnsi="宋体"/>
                <w:bCs/>
                <w:szCs w:val="21"/>
                <w:highlight w:val="none"/>
              </w:rPr>
              <w:fldChar w:fldCharType="begin"/>
            </w:r>
            <w:r>
              <w:rPr>
                <w:rFonts w:hint="eastAsia" w:ascii="宋体" w:hAnsi="宋体"/>
                <w:bCs/>
                <w:szCs w:val="21"/>
                <w:highlight w:val="none"/>
              </w:rPr>
              <w:instrText xml:space="preserve"> = 2 \* GB3 </w:instrText>
            </w:r>
            <w:r>
              <w:rPr>
                <w:rFonts w:hint="eastAsia" w:ascii="宋体" w:hAnsi="宋体"/>
                <w:bCs/>
                <w:szCs w:val="21"/>
                <w:highlight w:val="none"/>
              </w:rPr>
              <w:fldChar w:fldCharType="separate"/>
            </w:r>
            <w:r>
              <w:rPr>
                <w:rFonts w:hint="eastAsia" w:ascii="宋体" w:hAnsi="宋体"/>
                <w:bCs/>
                <w:szCs w:val="21"/>
                <w:highlight w:val="none"/>
              </w:rPr>
              <w:t>②</w:t>
            </w:r>
            <w:r>
              <w:rPr>
                <w:rFonts w:hint="eastAsia" w:ascii="宋体" w:hAnsi="宋体"/>
                <w:bCs/>
                <w:szCs w:val="21"/>
                <w:highlight w:val="none"/>
              </w:rPr>
              <w:fldChar w:fldCharType="end"/>
            </w:r>
            <w:r>
              <w:rPr>
                <w:rFonts w:hint="eastAsia" w:ascii="宋体" w:hAnsi="宋体"/>
                <w:bCs/>
                <w:szCs w:val="21"/>
                <w:highlight w:val="none"/>
              </w:rPr>
              <w:t>采用电子保函形式的：依据吉林省政务服务和数字化建设管理局《关于调整吉林省公共资源交易一体化平台电子保函担保业务的公告》  （http://www.jl.gov.cn/ggzy/etzgg/202501/t20250116_9034039.html），应采用在吉林省公共资源交易一体化平台开展电子保函担保业务的第三方服务机构提供的电子保函。</w:t>
            </w:r>
          </w:p>
        </w:tc>
      </w:tr>
      <w:tr w14:paraId="22D30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490" w:type="pct"/>
            <w:vAlign w:val="center"/>
          </w:tcPr>
          <w:p w14:paraId="01167052">
            <w:pPr>
              <w:adjustRightInd w:val="0"/>
              <w:snapToGrid w:val="0"/>
              <w:spacing w:line="340" w:lineRule="exact"/>
              <w:jc w:val="center"/>
              <w:rPr>
                <w:rFonts w:hint="eastAsia" w:ascii="宋体" w:hAnsi="宋体"/>
                <w:bCs/>
                <w:szCs w:val="21"/>
                <w:highlight w:val="none"/>
              </w:rPr>
            </w:pPr>
            <w:r>
              <w:rPr>
                <w:rFonts w:ascii="宋体" w:hAnsi="宋体"/>
                <w:bCs/>
                <w:szCs w:val="21"/>
                <w:highlight w:val="none"/>
              </w:rPr>
              <w:t>3.4.</w:t>
            </w:r>
            <w:r>
              <w:rPr>
                <w:rFonts w:hint="eastAsia" w:ascii="宋体" w:hAnsi="宋体"/>
                <w:bCs/>
                <w:szCs w:val="21"/>
                <w:highlight w:val="none"/>
              </w:rPr>
              <w:t>3</w:t>
            </w:r>
          </w:p>
        </w:tc>
        <w:tc>
          <w:tcPr>
            <w:tcW w:w="811" w:type="pct"/>
            <w:vAlign w:val="center"/>
          </w:tcPr>
          <w:p w14:paraId="54DFB7D4">
            <w:pPr>
              <w:adjustRightInd w:val="0"/>
              <w:snapToGrid w:val="0"/>
              <w:spacing w:line="340" w:lineRule="exact"/>
              <w:jc w:val="center"/>
              <w:rPr>
                <w:rFonts w:hint="eastAsia" w:ascii="宋体" w:hAnsi="宋体"/>
                <w:bCs/>
                <w:szCs w:val="21"/>
                <w:highlight w:val="none"/>
              </w:rPr>
            </w:pPr>
            <w:r>
              <w:rPr>
                <w:bCs/>
                <w:szCs w:val="21"/>
                <w:highlight w:val="none"/>
              </w:rPr>
              <w:t>投标保证金的</w:t>
            </w:r>
            <w:r>
              <w:rPr>
                <w:rFonts w:hint="eastAsia"/>
                <w:bCs/>
                <w:szCs w:val="21"/>
                <w:highlight w:val="none"/>
              </w:rPr>
              <w:br w:type="textWrapping"/>
            </w:r>
            <w:r>
              <w:rPr>
                <w:bCs/>
                <w:szCs w:val="21"/>
                <w:highlight w:val="none"/>
              </w:rPr>
              <w:t>利息计算原则</w:t>
            </w:r>
          </w:p>
        </w:tc>
        <w:tc>
          <w:tcPr>
            <w:tcW w:w="3699" w:type="pct"/>
            <w:vAlign w:val="center"/>
          </w:tcPr>
          <w:p w14:paraId="259C2925">
            <w:pPr>
              <w:adjustRightInd w:val="0"/>
              <w:snapToGrid w:val="0"/>
              <w:spacing w:line="340" w:lineRule="exact"/>
              <w:rPr>
                <w:rFonts w:hint="eastAsia" w:ascii="宋体" w:hAnsi="宋体"/>
                <w:bCs/>
                <w:szCs w:val="21"/>
                <w:highlight w:val="none"/>
              </w:rPr>
            </w:pPr>
            <w:r>
              <w:rPr>
                <w:rFonts w:hint="eastAsia" w:ascii="宋体" w:hAnsi="宋体"/>
                <w:bCs/>
                <w:szCs w:val="21"/>
                <w:highlight w:val="none"/>
              </w:rPr>
              <w:t>（1）</w:t>
            </w:r>
            <w:r>
              <w:rPr>
                <w:rFonts w:ascii="宋体" w:hAnsi="宋体"/>
                <w:bCs/>
                <w:szCs w:val="21"/>
                <w:highlight w:val="none"/>
              </w:rPr>
              <w:t>计算利息的起始日期为投标截止当日，终止日期为招标人退还投标保证金日期的前一日；</w:t>
            </w:r>
          </w:p>
          <w:p w14:paraId="72E3294F">
            <w:pPr>
              <w:adjustRightInd w:val="0"/>
              <w:snapToGrid w:val="0"/>
              <w:spacing w:line="340" w:lineRule="exact"/>
              <w:rPr>
                <w:rFonts w:hint="eastAsia" w:ascii="宋体" w:hAnsi="宋体"/>
                <w:bCs/>
                <w:szCs w:val="21"/>
                <w:highlight w:val="none"/>
              </w:rPr>
            </w:pPr>
            <w:r>
              <w:rPr>
                <w:rFonts w:hint="eastAsia" w:ascii="宋体" w:hAnsi="宋体"/>
                <w:bCs/>
                <w:szCs w:val="21"/>
                <w:highlight w:val="none"/>
              </w:rPr>
              <w:t>（2）</w:t>
            </w:r>
            <w:r>
              <w:rPr>
                <w:rFonts w:ascii="宋体" w:hAnsi="宋体"/>
                <w:bCs/>
                <w:szCs w:val="21"/>
                <w:highlight w:val="none"/>
              </w:rPr>
              <w:t>投标保证金的利息按照第（1）款所述计息时间段内招标人指定汇入银行公告的活期存款利率计付，并扣除招标人汇款手续费；</w:t>
            </w:r>
          </w:p>
          <w:p w14:paraId="0FB4B6BC">
            <w:pPr>
              <w:adjustRightInd w:val="0"/>
              <w:snapToGrid w:val="0"/>
              <w:spacing w:line="340" w:lineRule="exact"/>
              <w:rPr>
                <w:rFonts w:hint="eastAsia" w:ascii="宋体" w:hAnsi="宋体"/>
                <w:bCs/>
                <w:szCs w:val="21"/>
                <w:highlight w:val="none"/>
              </w:rPr>
            </w:pPr>
            <w:r>
              <w:rPr>
                <w:rFonts w:hint="eastAsia" w:ascii="宋体" w:hAnsi="宋体"/>
                <w:bCs/>
                <w:szCs w:val="21"/>
                <w:highlight w:val="none"/>
              </w:rPr>
              <w:t>（3）</w:t>
            </w:r>
            <w:r>
              <w:rPr>
                <w:rFonts w:ascii="宋体" w:hAnsi="宋体"/>
                <w:bCs/>
                <w:szCs w:val="21"/>
                <w:highlight w:val="none"/>
              </w:rPr>
              <w:t>利息金额计算至分位，分以下尾数四舍五入。</w:t>
            </w:r>
          </w:p>
        </w:tc>
      </w:tr>
      <w:tr w14:paraId="095F3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490" w:type="pct"/>
            <w:vAlign w:val="center"/>
          </w:tcPr>
          <w:p w14:paraId="14D9D589">
            <w:pPr>
              <w:adjustRightInd w:val="0"/>
              <w:snapToGrid w:val="0"/>
              <w:spacing w:line="340" w:lineRule="exact"/>
              <w:jc w:val="center"/>
              <w:rPr>
                <w:rFonts w:hint="eastAsia" w:ascii="宋体" w:hAnsi="宋体"/>
                <w:bCs/>
                <w:szCs w:val="21"/>
                <w:highlight w:val="none"/>
              </w:rPr>
            </w:pPr>
            <w:r>
              <w:rPr>
                <w:rFonts w:hint="eastAsia" w:ascii="宋体" w:hAnsi="宋体"/>
                <w:bCs/>
                <w:szCs w:val="21"/>
                <w:highlight w:val="none"/>
              </w:rPr>
              <w:t>3.4.4</w:t>
            </w:r>
          </w:p>
        </w:tc>
        <w:tc>
          <w:tcPr>
            <w:tcW w:w="811" w:type="pct"/>
            <w:vAlign w:val="center"/>
          </w:tcPr>
          <w:p w14:paraId="03E194E8">
            <w:pPr>
              <w:adjustRightInd w:val="0"/>
              <w:snapToGrid w:val="0"/>
              <w:spacing w:line="340" w:lineRule="exact"/>
              <w:jc w:val="center"/>
              <w:rPr>
                <w:rFonts w:hint="eastAsia" w:ascii="宋体" w:hAnsi="宋体"/>
                <w:bCs/>
                <w:szCs w:val="21"/>
                <w:highlight w:val="none"/>
              </w:rPr>
            </w:pPr>
            <w:r>
              <w:rPr>
                <w:rFonts w:hint="eastAsia" w:ascii="宋体" w:hAnsi="宋体"/>
                <w:bCs/>
                <w:szCs w:val="21"/>
                <w:highlight w:val="none"/>
              </w:rPr>
              <w:t>其他可以</w:t>
            </w:r>
            <w:r>
              <w:rPr>
                <w:rFonts w:ascii="宋体" w:hAnsi="宋体"/>
                <w:bCs/>
                <w:szCs w:val="21"/>
                <w:highlight w:val="none"/>
              </w:rPr>
              <w:br w:type="textWrapping"/>
            </w:r>
            <w:r>
              <w:rPr>
                <w:rFonts w:hint="eastAsia" w:ascii="宋体" w:hAnsi="宋体"/>
                <w:bCs/>
                <w:szCs w:val="21"/>
                <w:highlight w:val="none"/>
              </w:rPr>
              <w:t>不予退还</w:t>
            </w:r>
            <w:r>
              <w:rPr>
                <w:rFonts w:ascii="宋体" w:hAnsi="宋体"/>
                <w:bCs/>
                <w:szCs w:val="21"/>
                <w:highlight w:val="none"/>
              </w:rPr>
              <w:br w:type="textWrapping"/>
            </w:r>
            <w:r>
              <w:rPr>
                <w:rFonts w:hint="eastAsia" w:ascii="宋体" w:hAnsi="宋体"/>
                <w:bCs/>
                <w:szCs w:val="21"/>
                <w:highlight w:val="none"/>
              </w:rPr>
              <w:t>投标保证金情形</w:t>
            </w:r>
          </w:p>
        </w:tc>
        <w:tc>
          <w:tcPr>
            <w:tcW w:w="3699" w:type="pct"/>
            <w:vAlign w:val="center"/>
          </w:tcPr>
          <w:p w14:paraId="001A3B3D">
            <w:pPr>
              <w:adjustRightInd w:val="0"/>
              <w:snapToGrid w:val="0"/>
              <w:spacing w:line="340" w:lineRule="exact"/>
              <w:ind w:firstLine="210" w:firstLineChars="100"/>
              <w:rPr>
                <w:rFonts w:hint="eastAsia" w:ascii="宋体" w:hAnsi="宋体"/>
                <w:bCs/>
                <w:szCs w:val="21"/>
                <w:highlight w:val="none"/>
              </w:rPr>
            </w:pPr>
            <w:r>
              <w:rPr>
                <w:rFonts w:hint="eastAsia" w:ascii="宋体" w:hAnsi="宋体"/>
                <w:bCs/>
                <w:szCs w:val="21"/>
                <w:highlight w:val="none"/>
              </w:rPr>
              <w:t>/</w:t>
            </w:r>
          </w:p>
        </w:tc>
      </w:tr>
      <w:tr w14:paraId="230A2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490" w:type="pct"/>
            <w:vAlign w:val="center"/>
          </w:tcPr>
          <w:p w14:paraId="24F04C82">
            <w:pPr>
              <w:adjustRightInd w:val="0"/>
              <w:snapToGrid w:val="0"/>
              <w:spacing w:line="340" w:lineRule="exact"/>
              <w:jc w:val="center"/>
              <w:rPr>
                <w:rFonts w:hint="eastAsia" w:ascii="宋体" w:hAnsi="宋体"/>
                <w:bCs/>
                <w:szCs w:val="21"/>
                <w:highlight w:val="none"/>
              </w:rPr>
            </w:pPr>
            <w:r>
              <w:rPr>
                <w:rFonts w:hint="eastAsia" w:ascii="宋体" w:hAnsi="宋体"/>
                <w:bCs/>
                <w:szCs w:val="21"/>
                <w:highlight w:val="none"/>
              </w:rPr>
              <w:t>3.5</w:t>
            </w:r>
          </w:p>
        </w:tc>
        <w:tc>
          <w:tcPr>
            <w:tcW w:w="811" w:type="pct"/>
            <w:vAlign w:val="center"/>
          </w:tcPr>
          <w:p w14:paraId="31B3E826">
            <w:pPr>
              <w:autoSpaceDE w:val="0"/>
              <w:autoSpaceDN w:val="0"/>
              <w:adjustRightInd w:val="0"/>
              <w:snapToGrid w:val="0"/>
              <w:spacing w:line="340" w:lineRule="exact"/>
              <w:jc w:val="center"/>
              <w:rPr>
                <w:rFonts w:hint="eastAsia" w:ascii="Times New Roman" w:hAnsi="宋体"/>
                <w:bCs/>
                <w:szCs w:val="21"/>
                <w:highlight w:val="none"/>
              </w:rPr>
            </w:pPr>
            <w:r>
              <w:rPr>
                <w:rFonts w:hint="eastAsia" w:ascii="Times New Roman" w:hAnsi="宋体"/>
                <w:bCs/>
                <w:szCs w:val="21"/>
                <w:highlight w:val="none"/>
              </w:rPr>
              <w:t>资格审查资料</w:t>
            </w:r>
            <w:r>
              <w:rPr>
                <w:rFonts w:ascii="Times New Roman" w:hAnsi="宋体"/>
                <w:bCs/>
                <w:szCs w:val="21"/>
                <w:highlight w:val="none"/>
              </w:rPr>
              <w:br w:type="textWrapping"/>
            </w:r>
            <w:r>
              <w:rPr>
                <w:rFonts w:hint="eastAsia" w:ascii="Times New Roman" w:hAnsi="宋体"/>
                <w:bCs/>
                <w:szCs w:val="21"/>
                <w:highlight w:val="none"/>
              </w:rPr>
              <w:t>的特殊要求</w:t>
            </w:r>
          </w:p>
        </w:tc>
        <w:tc>
          <w:tcPr>
            <w:tcW w:w="3699" w:type="pct"/>
            <w:vAlign w:val="center"/>
          </w:tcPr>
          <w:p w14:paraId="5DDDDA3C">
            <w:pPr>
              <w:spacing w:line="340" w:lineRule="exact"/>
              <w:rPr>
                <w:rFonts w:hint="eastAsia" w:ascii="宋体" w:hAnsi="宋体"/>
                <w:bCs/>
                <w:color w:val="000000"/>
                <w:szCs w:val="21"/>
                <w:highlight w:val="none"/>
                <w:bdr w:val="single" w:color="auto" w:sz="4" w:space="0"/>
              </w:rPr>
            </w:pPr>
            <w:r>
              <w:rPr>
                <w:rFonts w:hint="eastAsia" w:ascii="宋体" w:hAnsi="宋体"/>
                <w:bCs/>
                <w:szCs w:val="21"/>
                <w:highlight w:val="none"/>
              </w:rPr>
              <w:t>有，具体要求：投标人须按招标文件第九章“投标文件格式”中规定的表格内容填写资格审查表，</w:t>
            </w:r>
            <w:r>
              <w:rPr>
                <w:rFonts w:hint="eastAsia" w:ascii="黑体" w:hAnsi="黑体" w:eastAsia="黑体"/>
                <w:bCs/>
                <w:szCs w:val="21"/>
                <w:highlight w:val="none"/>
              </w:rPr>
              <w:t>并按资格审查表下方的具体要求提供资格审查资料</w:t>
            </w:r>
            <w:r>
              <w:rPr>
                <w:rFonts w:hint="eastAsia" w:ascii="宋体" w:hAnsi="宋体"/>
                <w:bCs/>
                <w:szCs w:val="21"/>
                <w:highlight w:val="none"/>
              </w:rPr>
              <w:t>，以证明其满足本章第1.4款规定的资质、财务、业绩、信誉、人员等要求。</w:t>
            </w:r>
            <w:r>
              <w:rPr>
                <w:rFonts w:hint="eastAsia" w:ascii="黑体" w:hAnsi="黑体" w:eastAsia="黑体"/>
                <w:bCs/>
                <w:szCs w:val="21"/>
                <w:highlight w:val="none"/>
              </w:rPr>
              <w:t>招标文件中要求投标人提供的各类证照复印件均指彩色扫描件，其他资料的复印件可为黑白扫描件或彩色扫描件。</w:t>
            </w:r>
          </w:p>
        </w:tc>
      </w:tr>
      <w:tr w14:paraId="4D731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490" w:type="pct"/>
            <w:vAlign w:val="center"/>
          </w:tcPr>
          <w:p w14:paraId="578FF0CD">
            <w:pPr>
              <w:adjustRightInd w:val="0"/>
              <w:snapToGrid w:val="0"/>
              <w:spacing w:line="340" w:lineRule="exact"/>
              <w:jc w:val="center"/>
              <w:rPr>
                <w:rFonts w:hint="eastAsia" w:ascii="宋体" w:hAnsi="宋体"/>
                <w:bCs/>
                <w:szCs w:val="21"/>
                <w:highlight w:val="none"/>
              </w:rPr>
            </w:pPr>
            <w:r>
              <w:rPr>
                <w:rFonts w:ascii="宋体" w:hAnsi="宋体"/>
                <w:bCs/>
                <w:szCs w:val="21"/>
                <w:highlight w:val="none"/>
              </w:rPr>
              <w:t>3.5.2</w:t>
            </w:r>
          </w:p>
        </w:tc>
        <w:tc>
          <w:tcPr>
            <w:tcW w:w="811" w:type="pct"/>
            <w:vAlign w:val="center"/>
          </w:tcPr>
          <w:p w14:paraId="39B9A45D">
            <w:pPr>
              <w:adjustRightInd w:val="0"/>
              <w:snapToGrid w:val="0"/>
              <w:spacing w:line="340" w:lineRule="exact"/>
              <w:jc w:val="center"/>
              <w:rPr>
                <w:rFonts w:hint="eastAsia" w:ascii="宋体" w:hAnsi="宋体"/>
                <w:bCs/>
                <w:szCs w:val="21"/>
                <w:highlight w:val="none"/>
              </w:rPr>
            </w:pPr>
            <w:r>
              <w:rPr>
                <w:rFonts w:ascii="宋体" w:hAnsi="宋体"/>
                <w:bCs/>
                <w:szCs w:val="21"/>
                <w:highlight w:val="none"/>
              </w:rPr>
              <w:t>近年财务状况</w:t>
            </w:r>
          </w:p>
          <w:p w14:paraId="4815D7AB">
            <w:pPr>
              <w:autoSpaceDE w:val="0"/>
              <w:autoSpaceDN w:val="0"/>
              <w:adjustRightInd w:val="0"/>
              <w:snapToGrid w:val="0"/>
              <w:spacing w:line="340" w:lineRule="exact"/>
              <w:jc w:val="center"/>
              <w:rPr>
                <w:rFonts w:hint="eastAsia" w:ascii="Times New Roman" w:hAnsi="宋体"/>
                <w:bCs/>
                <w:szCs w:val="21"/>
                <w:highlight w:val="none"/>
              </w:rPr>
            </w:pPr>
            <w:r>
              <w:rPr>
                <w:rFonts w:hint="eastAsia" w:ascii="宋体" w:hAnsi="宋体"/>
                <w:bCs/>
                <w:szCs w:val="21"/>
                <w:highlight w:val="none"/>
              </w:rPr>
              <w:t>所附证明材料</w:t>
            </w:r>
          </w:p>
        </w:tc>
        <w:tc>
          <w:tcPr>
            <w:tcW w:w="3699" w:type="pct"/>
            <w:vAlign w:val="center"/>
          </w:tcPr>
          <w:p w14:paraId="08FF83E1">
            <w:pPr>
              <w:spacing w:line="340" w:lineRule="exact"/>
              <w:rPr>
                <w:rFonts w:hint="eastAsia" w:ascii="宋体" w:hAnsi="宋体"/>
                <w:bCs/>
                <w:color w:val="000000"/>
                <w:szCs w:val="21"/>
                <w:highlight w:val="none"/>
                <w:bdr w:val="single" w:color="auto" w:sz="4" w:space="0"/>
              </w:rPr>
            </w:pPr>
            <w:r>
              <w:rPr>
                <w:rFonts w:hint="eastAsia" w:ascii="宋体" w:hAnsi="宋体"/>
                <w:bCs/>
                <w:kern w:val="0"/>
                <w:szCs w:val="21"/>
                <w:highlight w:val="none"/>
                <w:lang w:val="zh-CN"/>
              </w:rPr>
              <w:t>此处应附投标人（包括联合体各方）近三</w:t>
            </w:r>
            <w:r>
              <w:rPr>
                <w:rFonts w:hint="eastAsia" w:ascii="宋体" w:hAnsi="宋体"/>
                <w:bCs/>
                <w:kern w:val="0"/>
                <w:szCs w:val="21"/>
                <w:highlight w:val="none"/>
                <w:lang w:val="zh-CN"/>
              </w:rPr>
              <w:t>年</w:t>
            </w:r>
            <w:r>
              <w:rPr>
                <w:rFonts w:hint="eastAsia" w:ascii="黑体" w:hAnsi="黑体" w:eastAsia="黑体"/>
                <w:bCs/>
                <w:kern w:val="0"/>
                <w:szCs w:val="21"/>
                <w:highlight w:val="none"/>
                <w:lang w:val="zh-CN"/>
              </w:rPr>
              <w:t>（2023年～投标截止</w:t>
            </w:r>
            <w:r>
              <w:rPr>
                <w:rFonts w:hint="eastAsia" w:ascii="黑体" w:hAnsi="黑体" w:eastAsia="黑体"/>
                <w:bCs/>
                <w:kern w:val="0"/>
                <w:szCs w:val="21"/>
                <w:highlight w:val="none"/>
                <w:lang w:val="zh-CN"/>
              </w:rPr>
              <w:t>时间）</w:t>
            </w:r>
            <w:r>
              <w:rPr>
                <w:rFonts w:hint="eastAsia" w:ascii="宋体" w:hAnsi="宋体"/>
                <w:bCs/>
                <w:kern w:val="0"/>
                <w:szCs w:val="21"/>
                <w:highlight w:val="none"/>
                <w:lang w:val="zh-CN"/>
              </w:rPr>
              <w:t>具有良好的商业信誉和健全的财务会计制度的</w:t>
            </w:r>
            <w:r>
              <w:rPr>
                <w:rFonts w:hint="eastAsia" w:ascii="黑体" w:hAnsi="黑体" w:eastAsia="黑体"/>
                <w:bCs/>
                <w:kern w:val="0"/>
                <w:szCs w:val="21"/>
                <w:highlight w:val="none"/>
                <w:lang w:val="zh-CN"/>
              </w:rPr>
              <w:t>财务状况承诺函并加盖投标人（包括联合体各方）单位公章</w:t>
            </w:r>
            <w:r>
              <w:rPr>
                <w:rFonts w:hint="eastAsia" w:ascii="宋体" w:hAnsi="宋体"/>
                <w:bCs/>
                <w:kern w:val="0"/>
                <w:szCs w:val="21"/>
                <w:highlight w:val="none"/>
                <w:lang w:val="zh-CN"/>
              </w:rPr>
              <w:t>。除财务状况承诺函外，投标人无须再提供任何财务证明材料。</w:t>
            </w:r>
          </w:p>
        </w:tc>
      </w:tr>
      <w:tr w14:paraId="1D7DE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490" w:type="pct"/>
            <w:vAlign w:val="center"/>
          </w:tcPr>
          <w:p w14:paraId="524DD0F3">
            <w:pPr>
              <w:adjustRightInd w:val="0"/>
              <w:snapToGrid w:val="0"/>
              <w:spacing w:line="340" w:lineRule="exact"/>
              <w:jc w:val="center"/>
              <w:rPr>
                <w:rFonts w:hint="eastAsia" w:ascii="宋体" w:hAnsi="宋体"/>
                <w:bCs/>
                <w:szCs w:val="21"/>
                <w:highlight w:val="none"/>
              </w:rPr>
            </w:pPr>
            <w:r>
              <w:rPr>
                <w:rFonts w:ascii="宋体" w:hAnsi="宋体"/>
                <w:bCs/>
                <w:szCs w:val="21"/>
                <w:highlight w:val="none"/>
              </w:rPr>
              <w:t>3.5.3</w:t>
            </w:r>
          </w:p>
        </w:tc>
        <w:tc>
          <w:tcPr>
            <w:tcW w:w="811" w:type="pct"/>
            <w:vAlign w:val="center"/>
          </w:tcPr>
          <w:p w14:paraId="0E55E62D">
            <w:pPr>
              <w:autoSpaceDE w:val="0"/>
              <w:autoSpaceDN w:val="0"/>
              <w:adjustRightInd w:val="0"/>
              <w:snapToGrid w:val="0"/>
              <w:spacing w:line="340" w:lineRule="exact"/>
              <w:jc w:val="center"/>
              <w:rPr>
                <w:rFonts w:hint="eastAsia" w:ascii="Times New Roman" w:hAnsi="宋体"/>
                <w:bCs/>
                <w:szCs w:val="21"/>
                <w:highlight w:val="none"/>
              </w:rPr>
            </w:pPr>
            <w:r>
              <w:rPr>
                <w:rFonts w:ascii="Times New Roman" w:hAnsi="宋体"/>
                <w:bCs/>
                <w:szCs w:val="21"/>
                <w:highlight w:val="none"/>
              </w:rPr>
              <w:t>近年完成的</w:t>
            </w:r>
            <w:r>
              <w:rPr>
                <w:rFonts w:hint="eastAsia" w:ascii="Times New Roman" w:hAnsi="宋体"/>
                <w:bCs/>
                <w:szCs w:val="21"/>
                <w:highlight w:val="none"/>
              </w:rPr>
              <w:br w:type="textWrapping"/>
            </w:r>
            <w:r>
              <w:rPr>
                <w:rFonts w:ascii="Times New Roman" w:hAnsi="宋体"/>
                <w:bCs/>
                <w:szCs w:val="21"/>
                <w:highlight w:val="none"/>
              </w:rPr>
              <w:t>类似项目</w:t>
            </w:r>
            <w:r>
              <w:rPr>
                <w:rFonts w:hint="eastAsia" w:ascii="Times New Roman" w:hAnsi="宋体"/>
                <w:bCs/>
                <w:szCs w:val="21"/>
                <w:highlight w:val="none"/>
              </w:rPr>
              <w:t>情况的时间要求</w:t>
            </w:r>
          </w:p>
        </w:tc>
        <w:tc>
          <w:tcPr>
            <w:tcW w:w="3699" w:type="pct"/>
            <w:vAlign w:val="center"/>
          </w:tcPr>
          <w:p w14:paraId="106C1568">
            <w:pPr>
              <w:spacing w:line="340" w:lineRule="exact"/>
              <w:rPr>
                <w:rFonts w:hint="eastAsia" w:ascii="宋体" w:hAnsi="宋体"/>
                <w:bCs/>
                <w:color w:val="000000"/>
                <w:szCs w:val="21"/>
                <w:highlight w:val="none"/>
                <w:bdr w:val="single" w:color="auto" w:sz="4" w:space="0"/>
              </w:rPr>
            </w:pPr>
            <w:r>
              <w:rPr>
                <w:rFonts w:hint="eastAsia" w:ascii="黑体" w:hAnsi="黑体" w:eastAsia="黑体"/>
                <w:bCs/>
                <w:kern w:val="0"/>
                <w:szCs w:val="21"/>
                <w:highlight w:val="none"/>
              </w:rPr>
              <w:t>2021年1</w:t>
            </w:r>
            <w:r>
              <w:rPr>
                <w:rFonts w:hint="eastAsia" w:ascii="黑体" w:hAnsi="黑体" w:eastAsia="黑体"/>
                <w:bCs/>
                <w:kern w:val="0"/>
                <w:szCs w:val="21"/>
                <w:highlight w:val="none"/>
              </w:rPr>
              <w:t>月1日至投标截止时间</w:t>
            </w:r>
            <w:r>
              <w:rPr>
                <w:rFonts w:hint="eastAsia" w:ascii="宋体" w:hAnsi="宋体"/>
                <w:bCs/>
                <w:kern w:val="0"/>
                <w:szCs w:val="21"/>
                <w:highlight w:val="none"/>
              </w:rPr>
              <w:t>（两阶段验收工程以交工时间为准，一阶段验收工程以竣工验收时间为准）。</w:t>
            </w:r>
          </w:p>
        </w:tc>
      </w:tr>
      <w:tr w14:paraId="33A5A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490" w:type="pct"/>
            <w:vAlign w:val="center"/>
          </w:tcPr>
          <w:p w14:paraId="0A45AB12">
            <w:pPr>
              <w:adjustRightInd w:val="0"/>
              <w:snapToGrid w:val="0"/>
              <w:spacing w:line="340" w:lineRule="exact"/>
              <w:jc w:val="center"/>
              <w:rPr>
                <w:rFonts w:hint="eastAsia" w:ascii="宋体" w:hAnsi="宋体"/>
                <w:bCs/>
                <w:szCs w:val="21"/>
                <w:highlight w:val="none"/>
              </w:rPr>
            </w:pPr>
            <w:r>
              <w:rPr>
                <w:rFonts w:hint="eastAsia" w:ascii="宋体" w:hAnsi="宋体"/>
                <w:bCs/>
                <w:szCs w:val="21"/>
                <w:highlight w:val="none"/>
              </w:rPr>
              <w:t>3.6.1</w:t>
            </w:r>
          </w:p>
        </w:tc>
        <w:tc>
          <w:tcPr>
            <w:tcW w:w="811" w:type="pct"/>
            <w:vAlign w:val="center"/>
          </w:tcPr>
          <w:p w14:paraId="2DC094FA">
            <w:pPr>
              <w:adjustRightInd w:val="0"/>
              <w:snapToGrid w:val="0"/>
              <w:spacing w:line="340" w:lineRule="exact"/>
              <w:jc w:val="center"/>
              <w:rPr>
                <w:rFonts w:hint="eastAsia" w:ascii="宋体" w:hAnsi="宋体"/>
                <w:bCs/>
                <w:szCs w:val="21"/>
                <w:highlight w:val="none"/>
              </w:rPr>
            </w:pPr>
            <w:r>
              <w:rPr>
                <w:rFonts w:hint="eastAsia" w:ascii="宋体" w:hAnsi="宋体"/>
                <w:bCs/>
                <w:szCs w:val="21"/>
                <w:highlight w:val="none"/>
              </w:rPr>
              <w:t>是否允许递交</w:t>
            </w:r>
          </w:p>
          <w:p w14:paraId="50200094">
            <w:pPr>
              <w:adjustRightInd w:val="0"/>
              <w:snapToGrid w:val="0"/>
              <w:spacing w:line="340" w:lineRule="exact"/>
              <w:jc w:val="center"/>
              <w:rPr>
                <w:rFonts w:hint="eastAsia" w:ascii="宋体" w:hAnsi="宋体"/>
                <w:bCs/>
                <w:szCs w:val="21"/>
                <w:highlight w:val="none"/>
              </w:rPr>
            </w:pPr>
            <w:r>
              <w:rPr>
                <w:rFonts w:hint="eastAsia" w:ascii="宋体" w:hAnsi="宋体"/>
                <w:bCs/>
                <w:szCs w:val="21"/>
                <w:highlight w:val="none"/>
              </w:rPr>
              <w:t>备选投标方案</w:t>
            </w:r>
          </w:p>
        </w:tc>
        <w:tc>
          <w:tcPr>
            <w:tcW w:w="3699" w:type="pct"/>
            <w:vAlign w:val="center"/>
          </w:tcPr>
          <w:p w14:paraId="76C30BB9">
            <w:pPr>
              <w:adjustRightInd w:val="0"/>
              <w:snapToGrid w:val="0"/>
              <w:spacing w:line="340" w:lineRule="exact"/>
              <w:rPr>
                <w:rFonts w:hint="eastAsia" w:ascii="宋体" w:hAnsi="宋体"/>
                <w:bCs/>
                <w:szCs w:val="21"/>
                <w:highlight w:val="none"/>
              </w:rPr>
            </w:pPr>
            <w:r>
              <w:rPr>
                <w:rFonts w:ascii="宋体" w:hAnsi="宋体"/>
                <w:bCs/>
                <w:szCs w:val="21"/>
                <w:highlight w:val="none"/>
              </w:rPr>
              <w:t>不允许</w:t>
            </w:r>
          </w:p>
        </w:tc>
      </w:tr>
      <w:tr w14:paraId="2A9F7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490" w:type="pct"/>
            <w:vAlign w:val="center"/>
          </w:tcPr>
          <w:p w14:paraId="0047EF53">
            <w:pPr>
              <w:adjustRightInd w:val="0"/>
              <w:snapToGrid w:val="0"/>
              <w:spacing w:line="340" w:lineRule="exact"/>
              <w:jc w:val="center"/>
              <w:rPr>
                <w:rFonts w:hint="eastAsia" w:ascii="宋体" w:hAnsi="宋体"/>
                <w:bCs/>
                <w:szCs w:val="21"/>
                <w:highlight w:val="none"/>
              </w:rPr>
            </w:pPr>
            <w:r>
              <w:rPr>
                <w:rFonts w:hint="eastAsia" w:ascii="宋体" w:hAnsi="宋体"/>
                <w:bCs/>
                <w:szCs w:val="21"/>
                <w:highlight w:val="none"/>
              </w:rPr>
              <w:t>3.7.3</w:t>
            </w:r>
          </w:p>
        </w:tc>
        <w:tc>
          <w:tcPr>
            <w:tcW w:w="811" w:type="pct"/>
            <w:vAlign w:val="center"/>
          </w:tcPr>
          <w:p w14:paraId="62B4FE1E">
            <w:pPr>
              <w:adjustRightInd w:val="0"/>
              <w:snapToGrid w:val="0"/>
              <w:spacing w:line="340" w:lineRule="exact"/>
              <w:jc w:val="center"/>
              <w:rPr>
                <w:rFonts w:hint="eastAsia" w:ascii="宋体" w:hAnsi="宋体"/>
                <w:bCs/>
                <w:szCs w:val="21"/>
                <w:highlight w:val="none"/>
              </w:rPr>
            </w:pPr>
            <w:r>
              <w:rPr>
                <w:rFonts w:hint="eastAsia" w:ascii="宋体" w:hAnsi="宋体"/>
                <w:bCs/>
                <w:szCs w:val="21"/>
                <w:highlight w:val="none"/>
              </w:rPr>
              <w:t>投标文件的制作应满足规定</w:t>
            </w:r>
          </w:p>
        </w:tc>
        <w:tc>
          <w:tcPr>
            <w:tcW w:w="3699" w:type="pct"/>
            <w:vAlign w:val="center"/>
          </w:tcPr>
          <w:p w14:paraId="7EB121C3">
            <w:pPr>
              <w:adjustRightInd w:val="0"/>
              <w:snapToGrid w:val="0"/>
              <w:spacing w:line="340" w:lineRule="exact"/>
              <w:rPr>
                <w:rFonts w:hint="eastAsia" w:ascii="宋体" w:hAnsi="宋体"/>
                <w:bCs/>
                <w:szCs w:val="21"/>
                <w:highlight w:val="none"/>
              </w:rPr>
            </w:pPr>
            <w:r>
              <w:rPr>
                <w:rFonts w:hint="eastAsia" w:ascii="宋体" w:hAnsi="宋体"/>
                <w:bCs/>
                <w:szCs w:val="21"/>
                <w:highlight w:val="none"/>
              </w:rPr>
              <w:t>本项第（3）目修改为：</w:t>
            </w:r>
          </w:p>
          <w:p w14:paraId="6C693165">
            <w:pPr>
              <w:adjustRightInd w:val="0"/>
              <w:snapToGrid w:val="0"/>
              <w:spacing w:line="340" w:lineRule="exact"/>
              <w:rPr>
                <w:rFonts w:hint="eastAsia" w:ascii="宋体" w:hAnsi="宋体"/>
                <w:bCs/>
                <w:szCs w:val="21"/>
                <w:highlight w:val="none"/>
              </w:rPr>
            </w:pPr>
            <w:r>
              <w:rPr>
                <w:rFonts w:hint="eastAsia" w:ascii="宋体" w:hAnsi="宋体"/>
                <w:bCs/>
                <w:szCs w:val="21"/>
                <w:highlight w:val="none"/>
              </w:rPr>
              <w:t>（3）投标文件中证明资料的“复印件”均为“原件的扫描件”。</w:t>
            </w:r>
          </w:p>
          <w:p w14:paraId="1A98DDC4">
            <w:pPr>
              <w:adjustRightInd w:val="0"/>
              <w:snapToGrid w:val="0"/>
              <w:spacing w:line="340" w:lineRule="exact"/>
              <w:rPr>
                <w:rFonts w:hint="eastAsia" w:ascii="宋体" w:hAnsi="宋体"/>
                <w:bCs/>
                <w:szCs w:val="21"/>
                <w:highlight w:val="none"/>
              </w:rPr>
            </w:pPr>
            <w:r>
              <w:rPr>
                <w:rFonts w:hint="eastAsia" w:ascii="宋体" w:hAnsi="宋体"/>
                <w:bCs/>
                <w:szCs w:val="21"/>
                <w:highlight w:val="none"/>
              </w:rPr>
              <w:t>本项第（5）目修改为：</w:t>
            </w:r>
          </w:p>
          <w:p w14:paraId="7580553B">
            <w:pPr>
              <w:adjustRightInd w:val="0"/>
              <w:snapToGrid w:val="0"/>
              <w:spacing w:line="340" w:lineRule="exact"/>
              <w:rPr>
                <w:rFonts w:hint="eastAsia" w:ascii="宋体" w:hAnsi="宋体"/>
                <w:bCs/>
                <w:szCs w:val="21"/>
                <w:highlight w:val="none"/>
              </w:rPr>
            </w:pPr>
            <w:r>
              <w:rPr>
                <w:rFonts w:hint="eastAsia" w:ascii="宋体" w:hAnsi="宋体"/>
                <w:bCs/>
                <w:szCs w:val="21"/>
                <w:highlight w:val="none"/>
              </w:rPr>
              <w:t>（5）除有特殊说明外（</w:t>
            </w:r>
            <w:r>
              <w:rPr>
                <w:rFonts w:hint="eastAsia" w:ascii="楷体" w:hAnsi="楷体" w:eastAsia="楷体"/>
                <w:bCs/>
                <w:szCs w:val="21"/>
                <w:highlight w:val="none"/>
              </w:rPr>
              <w:t>如联合体协议书、授权委托书、承诺函</w:t>
            </w:r>
            <w:r>
              <w:rPr>
                <w:rFonts w:hint="eastAsia" w:ascii="宋体" w:hAnsi="宋体"/>
                <w:bCs/>
                <w:szCs w:val="21"/>
                <w:highlight w:val="none"/>
              </w:rPr>
              <w:t>），第九章“投标文件格式”中要求盖单位章和（或）签字的地方，投标人均应使用CA数字证书加盖投标人的单位电子印章和（或）法定代表人的个人电子印章或电子签名章（投标人仅须在投标函上加盖投标人的单位电子印章，或加盖法定代表人的个人电子印章或电子签名章）。联合体投标的，由联合体牵头人按上述规定加盖联合体牵头人单位电子印章和（或）法定代表人的个人电子印章或电子签名章。</w:t>
            </w:r>
          </w:p>
          <w:p w14:paraId="5752BF01">
            <w:pPr>
              <w:adjustRightInd w:val="0"/>
              <w:snapToGrid w:val="0"/>
              <w:spacing w:line="340" w:lineRule="exact"/>
              <w:ind w:firstLine="420" w:firstLineChars="200"/>
              <w:rPr>
                <w:rFonts w:hint="eastAsia" w:ascii="宋体" w:hAnsi="宋体"/>
                <w:bCs/>
                <w:szCs w:val="21"/>
                <w:highlight w:val="none"/>
              </w:rPr>
            </w:pPr>
            <w:r>
              <w:rPr>
                <w:rFonts w:hint="eastAsia" w:ascii="宋体" w:hAnsi="宋体"/>
                <w:bCs/>
                <w:szCs w:val="21"/>
                <w:highlight w:val="none"/>
              </w:rPr>
              <w:t>第九章</w:t>
            </w:r>
            <w:r>
              <w:rPr>
                <w:rFonts w:hint="eastAsia" w:ascii="宋体" w:hAnsi="宋体"/>
                <w:bCs/>
                <w:color w:val="000000"/>
                <w:szCs w:val="21"/>
                <w:highlight w:val="none"/>
              </w:rPr>
              <w:t xml:space="preserve"> “投标文件格式”</w:t>
            </w:r>
            <w:r>
              <w:rPr>
                <w:rFonts w:hint="eastAsia" w:ascii="宋体" w:hAnsi="宋体"/>
                <w:bCs/>
                <w:szCs w:val="21"/>
                <w:highlight w:val="none"/>
              </w:rPr>
              <w:t>中授权委托书要求委托代理人签字的地方，投标人可使用CA数字证书加盖委托代理人的个人电子印章或电子签名章；或者按</w:t>
            </w:r>
            <w:r>
              <w:rPr>
                <w:rFonts w:hint="eastAsia" w:ascii="宋体" w:hAnsi="宋体"/>
                <w:bCs/>
                <w:color w:val="000000"/>
                <w:szCs w:val="21"/>
                <w:highlight w:val="none"/>
              </w:rPr>
              <w:t>授权委托书要求盖单位章和签字的地方，均加盖投标人单位章和由相关人员亲笔签字后，上传原件的彩色扫描件。</w:t>
            </w:r>
          </w:p>
          <w:p w14:paraId="1C766BE5">
            <w:pPr>
              <w:adjustRightInd w:val="0"/>
              <w:snapToGrid w:val="0"/>
              <w:spacing w:line="340" w:lineRule="exact"/>
              <w:ind w:firstLine="420" w:firstLineChars="200"/>
              <w:rPr>
                <w:rFonts w:hint="eastAsia" w:ascii="宋体" w:hAnsi="宋体"/>
                <w:bCs/>
                <w:szCs w:val="21"/>
                <w:highlight w:val="none"/>
              </w:rPr>
            </w:pPr>
            <w:r>
              <w:rPr>
                <w:rFonts w:hint="eastAsia" w:ascii="宋体" w:hAnsi="宋体"/>
                <w:bCs/>
                <w:szCs w:val="21"/>
                <w:highlight w:val="none"/>
              </w:rPr>
              <w:t>第九章“投标文件格式”中联合体协议书要求盖单位章和签字的地方，联合体各成员可使用CA数字证书加盖联合体各成员的单位电子印章和（或）法定代表人的个人电子印章或电子签名章；或者按联合体协议书要求盖单位章和签字的地方，均加盖相关单位章和由相关人员亲笔签字后，在投标文件中提供原件的彩色扫描件。</w:t>
            </w:r>
          </w:p>
          <w:p w14:paraId="5485C33A">
            <w:pPr>
              <w:adjustRightInd w:val="0"/>
              <w:snapToGrid w:val="0"/>
              <w:spacing w:line="340" w:lineRule="exact"/>
              <w:ind w:firstLine="420" w:firstLineChars="200"/>
              <w:rPr>
                <w:rFonts w:hint="eastAsia" w:ascii="宋体" w:hAnsi="宋体"/>
                <w:bCs/>
                <w:szCs w:val="21"/>
                <w:highlight w:val="none"/>
              </w:rPr>
            </w:pPr>
            <w:r>
              <w:rPr>
                <w:rFonts w:hint="eastAsia" w:ascii="宋体" w:hAnsi="宋体"/>
                <w:bCs/>
                <w:szCs w:val="21"/>
                <w:highlight w:val="none"/>
              </w:rPr>
              <w:t>投标文件中要求的承诺（格式自拟），可使用CA数字证书加盖投标人单位电子印章或提供加盖投标人单位章的原件彩色扫描件。</w:t>
            </w:r>
          </w:p>
        </w:tc>
      </w:tr>
      <w:tr w14:paraId="08468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490" w:type="pct"/>
            <w:vAlign w:val="center"/>
          </w:tcPr>
          <w:p w14:paraId="508D0BCC">
            <w:pPr>
              <w:adjustRightInd w:val="0"/>
              <w:snapToGrid w:val="0"/>
              <w:spacing w:line="340" w:lineRule="exact"/>
              <w:jc w:val="center"/>
              <w:rPr>
                <w:rFonts w:hint="eastAsia" w:ascii="宋体" w:hAnsi="宋体"/>
                <w:bCs/>
                <w:szCs w:val="21"/>
                <w:highlight w:val="none"/>
              </w:rPr>
            </w:pPr>
            <w:r>
              <w:rPr>
                <w:rFonts w:ascii="宋体" w:hAnsi="宋体"/>
                <w:bCs/>
                <w:szCs w:val="21"/>
                <w:highlight w:val="none"/>
              </w:rPr>
              <w:t>4.2.3</w:t>
            </w:r>
          </w:p>
        </w:tc>
        <w:tc>
          <w:tcPr>
            <w:tcW w:w="811" w:type="pct"/>
            <w:vAlign w:val="center"/>
          </w:tcPr>
          <w:p w14:paraId="4E0A73F0">
            <w:pPr>
              <w:adjustRightInd w:val="0"/>
              <w:snapToGrid w:val="0"/>
              <w:spacing w:line="340" w:lineRule="exact"/>
              <w:jc w:val="center"/>
              <w:rPr>
                <w:rFonts w:ascii="Times New Roman" w:hAnsi="Times New Roman"/>
                <w:bCs/>
                <w:szCs w:val="21"/>
                <w:highlight w:val="none"/>
              </w:rPr>
            </w:pPr>
            <w:r>
              <w:rPr>
                <w:rFonts w:ascii="Times New Roman" w:hAnsi="宋体"/>
                <w:bCs/>
                <w:szCs w:val="21"/>
                <w:highlight w:val="none"/>
              </w:rPr>
              <w:t>是否退还</w:t>
            </w:r>
            <w:r>
              <w:rPr>
                <w:rFonts w:hint="eastAsia" w:ascii="Times New Roman" w:hAnsi="宋体"/>
                <w:bCs/>
                <w:szCs w:val="21"/>
                <w:highlight w:val="none"/>
              </w:rPr>
              <w:br w:type="textWrapping"/>
            </w:r>
            <w:r>
              <w:rPr>
                <w:rFonts w:ascii="Times New Roman" w:hAnsi="宋体"/>
                <w:bCs/>
                <w:szCs w:val="21"/>
                <w:highlight w:val="none"/>
              </w:rPr>
              <w:t>投标文件</w:t>
            </w:r>
          </w:p>
        </w:tc>
        <w:tc>
          <w:tcPr>
            <w:tcW w:w="3699" w:type="pct"/>
            <w:vAlign w:val="center"/>
          </w:tcPr>
          <w:p w14:paraId="020EAE6F">
            <w:pPr>
              <w:snapToGrid w:val="0"/>
              <w:spacing w:line="340" w:lineRule="exact"/>
              <w:rPr>
                <w:rFonts w:hint="eastAsia" w:ascii="宋体" w:hAnsi="宋体"/>
                <w:bCs/>
                <w:color w:val="000000"/>
                <w:szCs w:val="21"/>
                <w:highlight w:val="none"/>
              </w:rPr>
            </w:pPr>
            <w:r>
              <w:rPr>
                <w:rFonts w:hint="eastAsia" w:ascii="宋体" w:hAnsi="宋体"/>
                <w:bCs/>
                <w:szCs w:val="21"/>
                <w:highlight w:val="none"/>
              </w:rPr>
              <w:t>否</w:t>
            </w:r>
          </w:p>
        </w:tc>
      </w:tr>
      <w:tr w14:paraId="4803B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490" w:type="pct"/>
            <w:vAlign w:val="center"/>
          </w:tcPr>
          <w:p w14:paraId="15FDC2AF">
            <w:pPr>
              <w:adjustRightInd w:val="0"/>
              <w:snapToGrid w:val="0"/>
              <w:spacing w:line="340" w:lineRule="exact"/>
              <w:jc w:val="center"/>
              <w:rPr>
                <w:rFonts w:hint="eastAsia" w:ascii="宋体" w:hAnsi="宋体"/>
                <w:bCs/>
                <w:szCs w:val="21"/>
                <w:highlight w:val="none"/>
              </w:rPr>
            </w:pPr>
            <w:r>
              <w:rPr>
                <w:rFonts w:ascii="宋体" w:hAnsi="宋体"/>
                <w:bCs/>
                <w:szCs w:val="21"/>
                <w:highlight w:val="none"/>
              </w:rPr>
              <w:t>5.1</w:t>
            </w:r>
          </w:p>
        </w:tc>
        <w:tc>
          <w:tcPr>
            <w:tcW w:w="811" w:type="pct"/>
            <w:vAlign w:val="center"/>
          </w:tcPr>
          <w:p w14:paraId="43226F5C">
            <w:pPr>
              <w:adjustRightInd w:val="0"/>
              <w:snapToGrid w:val="0"/>
              <w:spacing w:line="340" w:lineRule="exact"/>
              <w:jc w:val="center"/>
              <w:rPr>
                <w:rFonts w:ascii="Times New Roman" w:hAnsi="Times New Roman"/>
                <w:bCs/>
                <w:szCs w:val="21"/>
                <w:highlight w:val="none"/>
              </w:rPr>
            </w:pPr>
            <w:r>
              <w:rPr>
                <w:rFonts w:ascii="Times New Roman" w:hAnsi="宋体"/>
                <w:bCs/>
                <w:szCs w:val="21"/>
                <w:highlight w:val="none"/>
              </w:rPr>
              <w:t>开标时间和</w:t>
            </w:r>
          </w:p>
          <w:p w14:paraId="1B16E511">
            <w:pPr>
              <w:adjustRightInd w:val="0"/>
              <w:snapToGrid w:val="0"/>
              <w:spacing w:line="340" w:lineRule="exact"/>
              <w:jc w:val="center"/>
              <w:rPr>
                <w:rFonts w:ascii="Times New Roman" w:hAnsi="Times New Roman"/>
                <w:bCs/>
                <w:szCs w:val="21"/>
                <w:highlight w:val="none"/>
              </w:rPr>
            </w:pPr>
            <w:r>
              <w:rPr>
                <w:rFonts w:ascii="Times New Roman" w:hAnsi="宋体"/>
                <w:bCs/>
                <w:szCs w:val="21"/>
                <w:highlight w:val="none"/>
              </w:rPr>
              <w:t>地点</w:t>
            </w:r>
          </w:p>
        </w:tc>
        <w:tc>
          <w:tcPr>
            <w:tcW w:w="3699" w:type="pct"/>
            <w:vAlign w:val="center"/>
          </w:tcPr>
          <w:p w14:paraId="585E87A7">
            <w:pPr>
              <w:adjustRightInd w:val="0"/>
              <w:snapToGrid w:val="0"/>
              <w:spacing w:line="340" w:lineRule="exact"/>
              <w:rPr>
                <w:rFonts w:hint="eastAsia" w:ascii="宋体" w:hAnsi="宋体"/>
                <w:bCs/>
                <w:szCs w:val="21"/>
                <w:highlight w:val="none"/>
              </w:rPr>
            </w:pPr>
            <w:r>
              <w:rPr>
                <w:rFonts w:ascii="宋体" w:hAnsi="宋体"/>
                <w:bCs/>
                <w:szCs w:val="21"/>
                <w:highlight w:val="none"/>
              </w:rPr>
              <w:t>投标文件第一个信封（商务及技术文件）开标时间：同投标截止时间</w:t>
            </w:r>
          </w:p>
          <w:p w14:paraId="3D8700A3">
            <w:pPr>
              <w:adjustRightInd w:val="0"/>
              <w:snapToGrid w:val="0"/>
              <w:spacing w:line="340" w:lineRule="exact"/>
              <w:rPr>
                <w:rFonts w:hint="eastAsia" w:ascii="宋体" w:hAnsi="宋体"/>
                <w:bCs/>
                <w:szCs w:val="21"/>
                <w:highlight w:val="none"/>
              </w:rPr>
            </w:pPr>
            <w:r>
              <w:rPr>
                <w:rFonts w:ascii="宋体" w:hAnsi="宋体"/>
                <w:bCs/>
                <w:szCs w:val="21"/>
                <w:highlight w:val="none"/>
              </w:rPr>
              <w:t>投标文件第一个信封（商务及技术文件）</w:t>
            </w:r>
            <w:r>
              <w:rPr>
                <w:rFonts w:ascii="宋体" w:hAnsi="宋体"/>
                <w:bCs/>
                <w:spacing w:val="-4"/>
                <w:szCs w:val="21"/>
                <w:highlight w:val="none"/>
              </w:rPr>
              <w:t>开标地点：</w:t>
            </w:r>
            <w:bookmarkStart w:id="82" w:name="OLE_LINK64"/>
            <w:r>
              <w:rPr>
                <w:rFonts w:hint="eastAsia" w:ascii="宋体" w:hAnsi="宋体"/>
                <w:bCs/>
                <w:spacing w:val="-4"/>
                <w:szCs w:val="21"/>
                <w:highlight w:val="none"/>
              </w:rPr>
              <w:t>同递交投标文件地点</w:t>
            </w:r>
            <w:bookmarkEnd w:id="82"/>
          </w:p>
          <w:p w14:paraId="7F30476D">
            <w:pPr>
              <w:adjustRightInd w:val="0"/>
              <w:snapToGrid w:val="0"/>
              <w:spacing w:line="340" w:lineRule="exact"/>
              <w:rPr>
                <w:rFonts w:hint="eastAsia" w:ascii="宋体" w:hAnsi="宋体"/>
                <w:bCs/>
                <w:szCs w:val="21"/>
                <w:highlight w:val="none"/>
              </w:rPr>
            </w:pPr>
            <w:r>
              <w:rPr>
                <w:rFonts w:ascii="宋体" w:hAnsi="宋体"/>
                <w:bCs/>
                <w:szCs w:val="21"/>
                <w:highlight w:val="none"/>
              </w:rPr>
              <w:t>投标文件第二个信封（</w:t>
            </w:r>
            <w:r>
              <w:rPr>
                <w:rFonts w:hint="eastAsia" w:ascii="宋体" w:hAnsi="宋体"/>
                <w:bCs/>
                <w:szCs w:val="21"/>
                <w:highlight w:val="none"/>
              </w:rPr>
              <w:t>报价文件</w:t>
            </w:r>
            <w:r>
              <w:rPr>
                <w:rFonts w:ascii="宋体" w:hAnsi="宋体"/>
                <w:bCs/>
                <w:szCs w:val="21"/>
                <w:highlight w:val="none"/>
              </w:rPr>
              <w:t>）开标时间：</w:t>
            </w:r>
            <w:r>
              <w:rPr>
                <w:rFonts w:hint="eastAsia" w:ascii="宋体" w:hAnsi="宋体"/>
                <w:bCs/>
                <w:szCs w:val="21"/>
                <w:highlight w:val="none"/>
              </w:rPr>
              <w:t>见第一章“招标公告”</w:t>
            </w:r>
          </w:p>
          <w:p w14:paraId="7A31151C">
            <w:pPr>
              <w:adjustRightInd w:val="0"/>
              <w:snapToGrid w:val="0"/>
              <w:spacing w:line="340" w:lineRule="exact"/>
              <w:rPr>
                <w:rFonts w:hint="eastAsia" w:ascii="宋体" w:hAnsi="宋体"/>
                <w:bCs/>
                <w:spacing w:val="-4"/>
                <w:szCs w:val="21"/>
                <w:highlight w:val="none"/>
              </w:rPr>
            </w:pPr>
            <w:r>
              <w:rPr>
                <w:rFonts w:ascii="宋体" w:hAnsi="宋体"/>
                <w:bCs/>
                <w:szCs w:val="21"/>
                <w:highlight w:val="none"/>
              </w:rPr>
              <w:t>投标文件第</w:t>
            </w:r>
            <w:r>
              <w:rPr>
                <w:rFonts w:hint="eastAsia" w:ascii="宋体" w:hAnsi="宋体"/>
                <w:bCs/>
                <w:szCs w:val="21"/>
                <w:highlight w:val="none"/>
              </w:rPr>
              <w:t>二</w:t>
            </w:r>
            <w:r>
              <w:rPr>
                <w:rFonts w:ascii="宋体" w:hAnsi="宋体"/>
                <w:bCs/>
                <w:szCs w:val="21"/>
                <w:highlight w:val="none"/>
              </w:rPr>
              <w:t>个信封（</w:t>
            </w:r>
            <w:r>
              <w:rPr>
                <w:rFonts w:hint="eastAsia" w:ascii="宋体" w:hAnsi="宋体"/>
                <w:bCs/>
                <w:szCs w:val="21"/>
                <w:highlight w:val="none"/>
              </w:rPr>
              <w:t>报价文件</w:t>
            </w:r>
            <w:r>
              <w:rPr>
                <w:rFonts w:ascii="宋体" w:hAnsi="宋体"/>
                <w:bCs/>
                <w:szCs w:val="21"/>
                <w:highlight w:val="none"/>
              </w:rPr>
              <w:t>）</w:t>
            </w:r>
            <w:r>
              <w:rPr>
                <w:rFonts w:ascii="宋体" w:hAnsi="宋体"/>
                <w:bCs/>
                <w:spacing w:val="-4"/>
                <w:szCs w:val="21"/>
                <w:highlight w:val="none"/>
              </w:rPr>
              <w:t>开标地点</w:t>
            </w:r>
            <w:r>
              <w:rPr>
                <w:rFonts w:hint="eastAsia" w:ascii="宋体" w:hAnsi="宋体"/>
                <w:bCs/>
                <w:spacing w:val="-4"/>
                <w:szCs w:val="21"/>
                <w:highlight w:val="none"/>
              </w:rPr>
              <w:t>：</w:t>
            </w:r>
            <w:r>
              <w:rPr>
                <w:rFonts w:hint="eastAsia" w:ascii="宋体" w:hAnsi="宋体"/>
                <w:bCs/>
                <w:szCs w:val="21"/>
                <w:highlight w:val="none"/>
              </w:rPr>
              <w:t>见第一章“招标公告”</w:t>
            </w:r>
          </w:p>
        </w:tc>
      </w:tr>
      <w:tr w14:paraId="033EE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490" w:type="pct"/>
            <w:vAlign w:val="center"/>
          </w:tcPr>
          <w:p w14:paraId="54CBFF57">
            <w:pPr>
              <w:adjustRightInd w:val="0"/>
              <w:snapToGrid w:val="0"/>
              <w:spacing w:line="340" w:lineRule="exact"/>
              <w:jc w:val="center"/>
              <w:rPr>
                <w:rFonts w:hint="eastAsia" w:ascii="宋体" w:hAnsi="宋体"/>
                <w:bCs/>
                <w:szCs w:val="21"/>
                <w:highlight w:val="none"/>
              </w:rPr>
            </w:pPr>
            <w:r>
              <w:rPr>
                <w:rFonts w:hint="eastAsia" w:ascii="宋体" w:hAnsi="宋体"/>
                <w:bCs/>
                <w:szCs w:val="21"/>
                <w:highlight w:val="none"/>
              </w:rPr>
              <w:t>5</w:t>
            </w:r>
            <w:r>
              <w:rPr>
                <w:rFonts w:ascii="宋体" w:hAnsi="宋体"/>
                <w:bCs/>
                <w:szCs w:val="21"/>
                <w:highlight w:val="none"/>
              </w:rPr>
              <w:t>.2.3</w:t>
            </w:r>
          </w:p>
        </w:tc>
        <w:tc>
          <w:tcPr>
            <w:tcW w:w="811" w:type="pct"/>
            <w:vAlign w:val="center"/>
          </w:tcPr>
          <w:p w14:paraId="310F9821">
            <w:pPr>
              <w:adjustRightInd w:val="0"/>
              <w:snapToGrid w:val="0"/>
              <w:spacing w:line="340" w:lineRule="exact"/>
              <w:jc w:val="center"/>
              <w:rPr>
                <w:rFonts w:hint="eastAsia" w:ascii="Times New Roman" w:hAnsi="宋体"/>
                <w:bCs/>
                <w:szCs w:val="21"/>
                <w:highlight w:val="none"/>
              </w:rPr>
            </w:pPr>
            <w:r>
              <w:rPr>
                <w:rFonts w:hint="eastAsia" w:ascii="Times New Roman" w:hAnsi="宋体"/>
                <w:bCs/>
                <w:szCs w:val="21"/>
                <w:highlight w:val="none"/>
              </w:rPr>
              <w:t>投标文件第二个信封（报价文件）开标</w:t>
            </w:r>
          </w:p>
        </w:tc>
        <w:tc>
          <w:tcPr>
            <w:tcW w:w="3699" w:type="pct"/>
            <w:vAlign w:val="center"/>
          </w:tcPr>
          <w:p w14:paraId="6441CB8B">
            <w:pPr>
              <w:adjustRightInd w:val="0"/>
              <w:snapToGrid w:val="0"/>
              <w:spacing w:line="340" w:lineRule="exact"/>
              <w:rPr>
                <w:rFonts w:hint="eastAsia" w:ascii="宋体" w:hAnsi="宋体"/>
                <w:bCs/>
                <w:szCs w:val="21"/>
                <w:highlight w:val="none"/>
              </w:rPr>
            </w:pPr>
            <w:r>
              <w:rPr>
                <w:rFonts w:hint="eastAsia" w:ascii="宋体" w:hAnsi="宋体"/>
                <w:bCs/>
                <w:szCs w:val="21"/>
                <w:highlight w:val="none"/>
              </w:rPr>
              <w:t>本项第（2）（4）目修改为：</w:t>
            </w:r>
          </w:p>
          <w:p w14:paraId="4B2A7AD2">
            <w:pPr>
              <w:adjustRightInd w:val="0"/>
              <w:snapToGrid w:val="0"/>
              <w:spacing w:line="340" w:lineRule="exact"/>
              <w:rPr>
                <w:rFonts w:hint="eastAsia" w:ascii="宋体" w:hAnsi="宋体"/>
                <w:bCs/>
                <w:szCs w:val="21"/>
                <w:highlight w:val="none"/>
              </w:rPr>
            </w:pPr>
            <w:r>
              <w:rPr>
                <w:rFonts w:hint="eastAsia" w:ascii="宋体" w:hAnsi="宋体"/>
                <w:bCs/>
                <w:szCs w:val="21"/>
                <w:highlight w:val="none"/>
              </w:rPr>
              <w:t>（2）宣布通过投标文件第一个信封（商务及技术文件）评审的投标人名单；</w:t>
            </w:r>
          </w:p>
          <w:p w14:paraId="3E4BF691">
            <w:pPr>
              <w:adjustRightInd w:val="0"/>
              <w:snapToGrid w:val="0"/>
              <w:spacing w:line="340" w:lineRule="exact"/>
              <w:rPr>
                <w:rFonts w:hint="eastAsia" w:ascii="宋体" w:hAnsi="宋体"/>
                <w:bCs/>
                <w:szCs w:val="21"/>
                <w:highlight w:val="none"/>
              </w:rPr>
            </w:pPr>
            <w:r>
              <w:rPr>
                <w:rFonts w:hint="eastAsia" w:ascii="宋体" w:hAnsi="宋体"/>
                <w:bCs/>
                <w:szCs w:val="21"/>
                <w:highlight w:val="none"/>
              </w:rPr>
              <w:t>（4）通过投标文件第一个信封（商务及技术文件）评审的投标人代表解密加密的投标文件第二个信封（报价文件），导入并读取解密成功的投标文件第二个信封（报价文件）；</w:t>
            </w:r>
          </w:p>
        </w:tc>
      </w:tr>
      <w:tr w14:paraId="3F616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490" w:type="pct"/>
            <w:vAlign w:val="center"/>
          </w:tcPr>
          <w:p w14:paraId="1ED3DBAF">
            <w:pPr>
              <w:adjustRightInd w:val="0"/>
              <w:snapToGrid w:val="0"/>
              <w:spacing w:line="340" w:lineRule="exact"/>
              <w:jc w:val="center"/>
              <w:rPr>
                <w:rFonts w:hint="eastAsia" w:ascii="宋体" w:hAnsi="宋体"/>
                <w:bCs/>
                <w:szCs w:val="21"/>
                <w:highlight w:val="none"/>
              </w:rPr>
            </w:pPr>
            <w:r>
              <w:rPr>
                <w:rFonts w:hint="eastAsia" w:ascii="宋体" w:hAnsi="宋体"/>
                <w:bCs/>
                <w:szCs w:val="21"/>
                <w:highlight w:val="none"/>
              </w:rPr>
              <w:t>5</w:t>
            </w:r>
            <w:r>
              <w:rPr>
                <w:rFonts w:ascii="宋体" w:hAnsi="宋体"/>
                <w:bCs/>
                <w:szCs w:val="21"/>
                <w:highlight w:val="none"/>
              </w:rPr>
              <w:t>.3.1</w:t>
            </w:r>
          </w:p>
        </w:tc>
        <w:tc>
          <w:tcPr>
            <w:tcW w:w="811" w:type="pct"/>
            <w:vAlign w:val="center"/>
          </w:tcPr>
          <w:p w14:paraId="409F7ADB">
            <w:pPr>
              <w:adjustRightInd w:val="0"/>
              <w:snapToGrid w:val="0"/>
              <w:spacing w:line="340" w:lineRule="exact"/>
              <w:jc w:val="center"/>
              <w:rPr>
                <w:rFonts w:hint="eastAsia" w:ascii="Times New Roman" w:hAnsi="宋体"/>
                <w:bCs/>
                <w:szCs w:val="21"/>
                <w:highlight w:val="none"/>
              </w:rPr>
            </w:pPr>
            <w:r>
              <w:rPr>
                <w:rFonts w:hint="eastAsia" w:ascii="Times New Roman" w:hAnsi="宋体"/>
                <w:bCs/>
                <w:szCs w:val="21"/>
                <w:highlight w:val="none"/>
              </w:rPr>
              <w:t>开标补救措施</w:t>
            </w:r>
          </w:p>
        </w:tc>
        <w:tc>
          <w:tcPr>
            <w:tcW w:w="3699" w:type="pct"/>
            <w:vAlign w:val="center"/>
          </w:tcPr>
          <w:p w14:paraId="4138E978">
            <w:pPr>
              <w:adjustRightInd w:val="0"/>
              <w:snapToGrid w:val="0"/>
              <w:spacing w:line="340" w:lineRule="exact"/>
              <w:rPr>
                <w:rFonts w:hint="eastAsia" w:ascii="宋体" w:hAnsi="宋体"/>
                <w:bCs/>
                <w:szCs w:val="21"/>
                <w:highlight w:val="none"/>
              </w:rPr>
            </w:pPr>
            <w:r>
              <w:rPr>
                <w:rFonts w:hint="eastAsia" w:ascii="宋体" w:hAnsi="宋体"/>
                <w:bCs/>
                <w:szCs w:val="21"/>
                <w:highlight w:val="none"/>
              </w:rPr>
              <w:t>开标过程中因本章第5.3.2项、第5.3.3项所列原因，导致系统无法正常运行，将由“吉林省公共资源交易一体化平台”技术人员采取补救措施。</w:t>
            </w:r>
          </w:p>
        </w:tc>
      </w:tr>
      <w:tr w14:paraId="3A28C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490" w:type="pct"/>
            <w:vAlign w:val="center"/>
          </w:tcPr>
          <w:p w14:paraId="52ABFFD5">
            <w:pPr>
              <w:adjustRightInd w:val="0"/>
              <w:snapToGrid w:val="0"/>
              <w:spacing w:line="340" w:lineRule="exact"/>
              <w:jc w:val="center"/>
              <w:rPr>
                <w:rFonts w:hint="eastAsia" w:ascii="宋体" w:hAnsi="宋体"/>
                <w:bCs/>
                <w:szCs w:val="21"/>
                <w:highlight w:val="none"/>
              </w:rPr>
            </w:pPr>
            <w:r>
              <w:rPr>
                <w:rFonts w:ascii="宋体" w:hAnsi="宋体"/>
                <w:bCs/>
                <w:szCs w:val="21"/>
                <w:highlight w:val="none"/>
              </w:rPr>
              <w:t>6.1.1</w:t>
            </w:r>
          </w:p>
        </w:tc>
        <w:tc>
          <w:tcPr>
            <w:tcW w:w="811" w:type="pct"/>
            <w:vAlign w:val="center"/>
          </w:tcPr>
          <w:p w14:paraId="2B8271BC">
            <w:pPr>
              <w:adjustRightInd w:val="0"/>
              <w:snapToGrid w:val="0"/>
              <w:spacing w:line="340" w:lineRule="exact"/>
              <w:jc w:val="center"/>
              <w:rPr>
                <w:rFonts w:ascii="Times New Roman" w:hAnsi="Times New Roman"/>
                <w:bCs/>
                <w:szCs w:val="21"/>
                <w:highlight w:val="none"/>
              </w:rPr>
            </w:pPr>
            <w:r>
              <w:rPr>
                <w:rFonts w:ascii="Times New Roman" w:hAnsi="宋体"/>
                <w:bCs/>
                <w:szCs w:val="21"/>
                <w:highlight w:val="none"/>
              </w:rPr>
              <w:t>评标委员会</w:t>
            </w:r>
            <w:r>
              <w:rPr>
                <w:rFonts w:hint="eastAsia" w:ascii="Times New Roman" w:hAnsi="宋体"/>
                <w:bCs/>
                <w:szCs w:val="21"/>
                <w:highlight w:val="none"/>
              </w:rPr>
              <w:br w:type="textWrapping"/>
            </w:r>
            <w:r>
              <w:rPr>
                <w:rFonts w:ascii="Times New Roman" w:hAnsi="宋体"/>
                <w:bCs/>
                <w:szCs w:val="21"/>
                <w:highlight w:val="none"/>
              </w:rPr>
              <w:t>的组建</w:t>
            </w:r>
          </w:p>
        </w:tc>
        <w:tc>
          <w:tcPr>
            <w:tcW w:w="3699" w:type="pct"/>
            <w:vAlign w:val="center"/>
          </w:tcPr>
          <w:p w14:paraId="46520D97">
            <w:pPr>
              <w:adjustRightInd w:val="0"/>
              <w:snapToGrid w:val="0"/>
              <w:spacing w:line="340" w:lineRule="exact"/>
              <w:rPr>
                <w:rFonts w:hint="eastAsia" w:ascii="宋体" w:hAnsi="宋体"/>
                <w:bCs/>
                <w:szCs w:val="21"/>
                <w:highlight w:val="none"/>
              </w:rPr>
            </w:pPr>
            <w:r>
              <w:rPr>
                <w:rFonts w:ascii="宋体" w:hAnsi="宋体"/>
                <w:bCs/>
                <w:szCs w:val="21"/>
                <w:highlight w:val="none"/>
              </w:rPr>
              <w:t>评标委员会</w:t>
            </w:r>
            <w:r>
              <w:rPr>
                <w:rFonts w:ascii="宋体" w:hAnsi="宋体"/>
                <w:bCs/>
                <w:szCs w:val="21"/>
                <w:highlight w:val="none"/>
              </w:rPr>
              <w:t>构成：</w:t>
            </w:r>
            <w:r>
              <w:rPr>
                <w:rFonts w:hint="eastAsia" w:ascii="宋体" w:hAnsi="宋体"/>
                <w:bCs/>
                <w:szCs w:val="21"/>
                <w:highlight w:val="none"/>
              </w:rPr>
              <w:t>7</w:t>
            </w:r>
            <w:r>
              <w:rPr>
                <w:rFonts w:ascii="宋体" w:hAnsi="宋体"/>
                <w:bCs/>
                <w:szCs w:val="21"/>
                <w:highlight w:val="none"/>
              </w:rPr>
              <w:t>人，其中招标人代表</w:t>
            </w:r>
            <w:r>
              <w:rPr>
                <w:rFonts w:hint="eastAsia" w:ascii="宋体" w:hAnsi="宋体"/>
                <w:bCs/>
                <w:szCs w:val="21"/>
                <w:highlight w:val="none"/>
              </w:rPr>
              <w:t>2</w:t>
            </w:r>
            <w:r>
              <w:rPr>
                <w:rFonts w:ascii="宋体" w:hAnsi="宋体"/>
                <w:bCs/>
                <w:szCs w:val="21"/>
                <w:highlight w:val="none"/>
              </w:rPr>
              <w:t>人，专家</w:t>
            </w:r>
            <w:r>
              <w:rPr>
                <w:rFonts w:hint="eastAsia" w:ascii="宋体" w:hAnsi="宋体"/>
                <w:bCs/>
                <w:szCs w:val="21"/>
                <w:highlight w:val="none"/>
              </w:rPr>
              <w:t>5</w:t>
            </w:r>
            <w:r>
              <w:rPr>
                <w:rFonts w:ascii="宋体" w:hAnsi="宋体"/>
                <w:bCs/>
                <w:szCs w:val="21"/>
                <w:highlight w:val="none"/>
              </w:rPr>
              <w:t>人；</w:t>
            </w:r>
          </w:p>
          <w:p w14:paraId="54E040F5">
            <w:pPr>
              <w:adjustRightInd w:val="0"/>
              <w:snapToGrid w:val="0"/>
              <w:spacing w:line="340" w:lineRule="exact"/>
              <w:rPr>
                <w:rFonts w:hint="eastAsia" w:ascii="宋体" w:hAnsi="宋体"/>
                <w:bCs/>
                <w:szCs w:val="21"/>
                <w:highlight w:val="none"/>
              </w:rPr>
            </w:pPr>
            <w:r>
              <w:rPr>
                <w:rFonts w:ascii="宋体" w:hAnsi="宋体"/>
                <w:bCs/>
                <w:szCs w:val="21"/>
                <w:highlight w:val="none"/>
              </w:rPr>
              <w:t>评标专家确定方式</w:t>
            </w:r>
            <w:r>
              <w:rPr>
                <w:rFonts w:hint="eastAsia" w:ascii="宋体" w:hAnsi="宋体"/>
                <w:bCs/>
                <w:szCs w:val="21"/>
                <w:highlight w:val="none"/>
              </w:rPr>
              <w:t>：依法从相应评标专家库中随机抽取。</w:t>
            </w:r>
          </w:p>
        </w:tc>
      </w:tr>
      <w:tr w14:paraId="7A92C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490" w:type="pct"/>
            <w:vAlign w:val="center"/>
          </w:tcPr>
          <w:p w14:paraId="4A84C447">
            <w:pPr>
              <w:adjustRightInd w:val="0"/>
              <w:snapToGrid w:val="0"/>
              <w:spacing w:line="340" w:lineRule="exact"/>
              <w:jc w:val="center"/>
              <w:rPr>
                <w:rFonts w:hint="eastAsia" w:ascii="宋体" w:hAnsi="宋体"/>
                <w:bCs/>
                <w:szCs w:val="21"/>
                <w:highlight w:val="none"/>
              </w:rPr>
            </w:pPr>
            <w:r>
              <w:rPr>
                <w:rFonts w:hint="eastAsia" w:ascii="宋体" w:hAnsi="宋体"/>
                <w:bCs/>
                <w:szCs w:val="21"/>
                <w:highlight w:val="none"/>
              </w:rPr>
              <w:t>6.3.2</w:t>
            </w:r>
          </w:p>
        </w:tc>
        <w:tc>
          <w:tcPr>
            <w:tcW w:w="811" w:type="pct"/>
            <w:vAlign w:val="center"/>
          </w:tcPr>
          <w:p w14:paraId="626AC1F7">
            <w:pPr>
              <w:adjustRightInd w:val="0"/>
              <w:snapToGrid w:val="0"/>
              <w:spacing w:line="340" w:lineRule="exact"/>
              <w:jc w:val="center"/>
              <w:rPr>
                <w:rFonts w:hint="eastAsia" w:ascii="Times New Roman" w:hAnsi="宋体"/>
                <w:bCs/>
                <w:szCs w:val="21"/>
                <w:highlight w:val="none"/>
              </w:rPr>
            </w:pPr>
            <w:r>
              <w:rPr>
                <w:rFonts w:hint="eastAsia" w:ascii="Times New Roman" w:hAnsi="宋体"/>
                <w:bCs/>
                <w:szCs w:val="21"/>
                <w:highlight w:val="none"/>
              </w:rPr>
              <w:t>评标委员会</w:t>
            </w:r>
            <w:r>
              <w:rPr>
                <w:rFonts w:ascii="Times New Roman" w:hAnsi="宋体"/>
                <w:bCs/>
                <w:szCs w:val="21"/>
                <w:highlight w:val="none"/>
              </w:rPr>
              <w:br w:type="textWrapping"/>
            </w:r>
            <w:r>
              <w:rPr>
                <w:rFonts w:hint="eastAsia" w:ascii="Times New Roman" w:hAnsi="宋体"/>
                <w:bCs/>
                <w:szCs w:val="21"/>
                <w:highlight w:val="none"/>
              </w:rPr>
              <w:t>推荐中标候选人的人数</w:t>
            </w:r>
          </w:p>
        </w:tc>
        <w:tc>
          <w:tcPr>
            <w:tcW w:w="3699" w:type="pct"/>
            <w:vAlign w:val="center"/>
          </w:tcPr>
          <w:p w14:paraId="34A00955">
            <w:pPr>
              <w:adjustRightInd w:val="0"/>
              <w:snapToGrid w:val="0"/>
              <w:spacing w:line="340" w:lineRule="exact"/>
              <w:rPr>
                <w:rFonts w:hint="eastAsia" w:ascii="宋体" w:hAnsi="宋体"/>
                <w:bCs/>
                <w:szCs w:val="21"/>
                <w:highlight w:val="none"/>
              </w:rPr>
            </w:pPr>
            <w:r>
              <w:rPr>
                <w:rFonts w:hint="eastAsia" w:ascii="宋体" w:hAnsi="宋体"/>
                <w:bCs/>
                <w:szCs w:val="21"/>
                <w:highlight w:val="none"/>
              </w:rPr>
              <w:t>1名</w:t>
            </w:r>
          </w:p>
        </w:tc>
      </w:tr>
      <w:tr w14:paraId="677C7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490" w:type="pct"/>
            <w:vAlign w:val="center"/>
          </w:tcPr>
          <w:p w14:paraId="6C8B8FF7">
            <w:pPr>
              <w:adjustRightInd w:val="0"/>
              <w:snapToGrid w:val="0"/>
              <w:spacing w:line="340" w:lineRule="exact"/>
              <w:jc w:val="center"/>
              <w:rPr>
                <w:rFonts w:hint="eastAsia" w:ascii="宋体" w:hAnsi="宋体"/>
                <w:bCs/>
                <w:szCs w:val="21"/>
                <w:highlight w:val="none"/>
              </w:rPr>
            </w:pPr>
            <w:r>
              <w:rPr>
                <w:rFonts w:ascii="宋体" w:hAnsi="宋体"/>
                <w:bCs/>
                <w:szCs w:val="21"/>
                <w:highlight w:val="none"/>
              </w:rPr>
              <w:t>7.1</w:t>
            </w:r>
          </w:p>
        </w:tc>
        <w:tc>
          <w:tcPr>
            <w:tcW w:w="811" w:type="pct"/>
            <w:vAlign w:val="center"/>
          </w:tcPr>
          <w:p w14:paraId="411EE88C">
            <w:pPr>
              <w:adjustRightInd w:val="0"/>
              <w:snapToGrid w:val="0"/>
              <w:spacing w:line="340" w:lineRule="exact"/>
              <w:jc w:val="center"/>
              <w:rPr>
                <w:rFonts w:hint="eastAsia" w:ascii="宋体" w:hAnsi="宋体"/>
                <w:bCs/>
                <w:szCs w:val="21"/>
                <w:highlight w:val="none"/>
              </w:rPr>
            </w:pPr>
            <w:r>
              <w:rPr>
                <w:rFonts w:hint="eastAsia" w:ascii="宋体" w:hAnsi="宋体"/>
                <w:bCs/>
                <w:szCs w:val="21"/>
                <w:highlight w:val="none"/>
              </w:rPr>
              <w:t>中标候选人</w:t>
            </w:r>
          </w:p>
          <w:p w14:paraId="59CC1966">
            <w:pPr>
              <w:adjustRightInd w:val="0"/>
              <w:snapToGrid w:val="0"/>
              <w:spacing w:line="340" w:lineRule="exact"/>
              <w:jc w:val="center"/>
              <w:rPr>
                <w:rFonts w:hint="eastAsia" w:ascii="宋体" w:hAnsi="宋体"/>
                <w:bCs/>
                <w:szCs w:val="21"/>
                <w:highlight w:val="none"/>
              </w:rPr>
            </w:pPr>
            <w:r>
              <w:rPr>
                <w:rFonts w:hint="eastAsia" w:ascii="宋体" w:hAnsi="宋体"/>
                <w:bCs/>
                <w:szCs w:val="21"/>
                <w:highlight w:val="none"/>
              </w:rPr>
              <w:t>公示媒介及</w:t>
            </w:r>
          </w:p>
          <w:p w14:paraId="05F75665">
            <w:pPr>
              <w:adjustRightInd w:val="0"/>
              <w:snapToGrid w:val="0"/>
              <w:spacing w:line="340" w:lineRule="exact"/>
              <w:jc w:val="center"/>
              <w:rPr>
                <w:rFonts w:hint="eastAsia" w:ascii="宋体" w:hAnsi="宋体"/>
                <w:bCs/>
                <w:szCs w:val="21"/>
                <w:highlight w:val="none"/>
              </w:rPr>
            </w:pPr>
            <w:r>
              <w:rPr>
                <w:rFonts w:hint="eastAsia" w:ascii="宋体" w:hAnsi="宋体"/>
                <w:bCs/>
                <w:szCs w:val="21"/>
                <w:highlight w:val="none"/>
              </w:rPr>
              <w:t>期限</w:t>
            </w:r>
          </w:p>
        </w:tc>
        <w:tc>
          <w:tcPr>
            <w:tcW w:w="3699" w:type="pct"/>
            <w:vAlign w:val="center"/>
          </w:tcPr>
          <w:p w14:paraId="7CBA0939">
            <w:pPr>
              <w:adjustRightInd w:val="0"/>
              <w:snapToGrid w:val="0"/>
              <w:spacing w:line="340" w:lineRule="exact"/>
              <w:rPr>
                <w:rFonts w:hint="eastAsia" w:ascii="宋体" w:hAnsi="宋体"/>
                <w:bCs/>
                <w:szCs w:val="21"/>
                <w:highlight w:val="none"/>
              </w:rPr>
            </w:pPr>
            <w:r>
              <w:rPr>
                <w:rFonts w:hint="eastAsia" w:ascii="宋体" w:hAnsi="宋体"/>
                <w:bCs/>
                <w:szCs w:val="21"/>
                <w:highlight w:val="none"/>
              </w:rPr>
              <w:t>公示媒介：中国招标投标公共服务平台、吉林省公共资源交易中心网（同步推送到吉林省公共资源交易公共服务平台）、吉林省交通运输厅网站。</w:t>
            </w:r>
          </w:p>
          <w:p w14:paraId="0800DA2E">
            <w:pPr>
              <w:adjustRightInd w:val="0"/>
              <w:snapToGrid w:val="0"/>
              <w:spacing w:line="340" w:lineRule="exact"/>
              <w:rPr>
                <w:rFonts w:hint="eastAsia" w:ascii="宋体" w:hAnsi="宋体"/>
                <w:bCs/>
                <w:szCs w:val="21"/>
                <w:highlight w:val="none"/>
              </w:rPr>
            </w:pPr>
            <w:r>
              <w:rPr>
                <w:rFonts w:hint="eastAsia" w:ascii="宋体" w:hAnsi="宋体"/>
                <w:bCs/>
                <w:szCs w:val="21"/>
                <w:highlight w:val="none"/>
              </w:rPr>
              <w:t>公示期限：不少于3日</w:t>
            </w:r>
          </w:p>
          <w:p w14:paraId="23BEBD9A">
            <w:pPr>
              <w:adjustRightInd w:val="0"/>
              <w:snapToGrid w:val="0"/>
              <w:spacing w:line="340" w:lineRule="exact"/>
              <w:rPr>
                <w:rFonts w:hint="eastAsia" w:ascii="宋体" w:hAnsi="宋体"/>
                <w:bCs/>
                <w:szCs w:val="21"/>
                <w:highlight w:val="none"/>
              </w:rPr>
            </w:pPr>
            <w:r>
              <w:rPr>
                <w:rFonts w:hint="eastAsia" w:ascii="宋体" w:hAnsi="宋体"/>
                <w:bCs/>
                <w:szCs w:val="21"/>
                <w:highlight w:val="none"/>
              </w:rPr>
              <w:t>公示的其他内容：《投标文件关键内容摘录表》中公示的其他内容。</w:t>
            </w:r>
          </w:p>
        </w:tc>
      </w:tr>
      <w:tr w14:paraId="2AFC7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490" w:type="pct"/>
            <w:vAlign w:val="center"/>
          </w:tcPr>
          <w:p w14:paraId="2D813EEE">
            <w:pPr>
              <w:adjustRightInd w:val="0"/>
              <w:snapToGrid w:val="0"/>
              <w:spacing w:line="340" w:lineRule="exact"/>
              <w:jc w:val="center"/>
              <w:rPr>
                <w:rFonts w:hint="eastAsia" w:ascii="宋体" w:hAnsi="宋体"/>
                <w:bCs/>
                <w:szCs w:val="21"/>
                <w:highlight w:val="none"/>
              </w:rPr>
            </w:pPr>
            <w:r>
              <w:rPr>
                <w:rFonts w:hint="eastAsia" w:ascii="宋体" w:hAnsi="宋体"/>
                <w:bCs/>
                <w:szCs w:val="21"/>
                <w:highlight w:val="none"/>
              </w:rPr>
              <w:t>7.4</w:t>
            </w:r>
          </w:p>
        </w:tc>
        <w:tc>
          <w:tcPr>
            <w:tcW w:w="811" w:type="pct"/>
            <w:vAlign w:val="center"/>
          </w:tcPr>
          <w:p w14:paraId="52580C79">
            <w:pPr>
              <w:adjustRightInd w:val="0"/>
              <w:snapToGrid w:val="0"/>
              <w:spacing w:line="340" w:lineRule="exact"/>
              <w:jc w:val="center"/>
              <w:rPr>
                <w:rFonts w:hint="eastAsia" w:ascii="宋体" w:hAnsi="宋体"/>
                <w:bCs/>
                <w:szCs w:val="21"/>
                <w:highlight w:val="none"/>
              </w:rPr>
            </w:pPr>
            <w:r>
              <w:rPr>
                <w:rFonts w:hint="eastAsia" w:ascii="宋体" w:hAnsi="宋体"/>
                <w:bCs/>
                <w:szCs w:val="21"/>
                <w:highlight w:val="none"/>
              </w:rPr>
              <w:t>是否授权评标委员会确定中标人</w:t>
            </w:r>
          </w:p>
        </w:tc>
        <w:tc>
          <w:tcPr>
            <w:tcW w:w="3699" w:type="pct"/>
            <w:vAlign w:val="center"/>
          </w:tcPr>
          <w:p w14:paraId="16E359E6">
            <w:pPr>
              <w:adjustRightInd w:val="0"/>
              <w:snapToGrid w:val="0"/>
              <w:spacing w:line="340" w:lineRule="exact"/>
              <w:rPr>
                <w:rFonts w:hint="eastAsia" w:ascii="宋体" w:hAnsi="宋体"/>
                <w:bCs/>
                <w:szCs w:val="21"/>
                <w:highlight w:val="none"/>
              </w:rPr>
            </w:pPr>
            <w:r>
              <w:rPr>
                <w:rFonts w:hint="eastAsia" w:ascii="宋体" w:hAnsi="宋体"/>
                <w:bCs/>
                <w:szCs w:val="21"/>
                <w:highlight w:val="none"/>
              </w:rPr>
              <w:t>否</w:t>
            </w:r>
          </w:p>
        </w:tc>
      </w:tr>
      <w:tr w14:paraId="2A654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490" w:type="pct"/>
            <w:vAlign w:val="center"/>
          </w:tcPr>
          <w:p w14:paraId="330DACFC">
            <w:pPr>
              <w:adjustRightInd w:val="0"/>
              <w:snapToGrid w:val="0"/>
              <w:spacing w:line="340" w:lineRule="exact"/>
              <w:jc w:val="center"/>
              <w:rPr>
                <w:rFonts w:hint="eastAsia" w:ascii="宋体" w:hAnsi="宋体"/>
                <w:bCs/>
                <w:szCs w:val="21"/>
                <w:highlight w:val="none"/>
                <w:u w:val="wave"/>
              </w:rPr>
            </w:pPr>
            <w:r>
              <w:rPr>
                <w:rFonts w:hint="eastAsia" w:ascii="宋体" w:hAnsi="宋体"/>
                <w:bCs/>
                <w:szCs w:val="21"/>
                <w:highlight w:val="none"/>
              </w:rPr>
              <w:t>7.6</w:t>
            </w:r>
          </w:p>
        </w:tc>
        <w:tc>
          <w:tcPr>
            <w:tcW w:w="811" w:type="pct"/>
            <w:vAlign w:val="center"/>
          </w:tcPr>
          <w:p w14:paraId="2EB21843">
            <w:pPr>
              <w:adjustRightInd w:val="0"/>
              <w:snapToGrid w:val="0"/>
              <w:spacing w:line="340" w:lineRule="exact"/>
              <w:jc w:val="center"/>
              <w:rPr>
                <w:rFonts w:hint="eastAsia" w:ascii="宋体" w:hAnsi="宋体"/>
                <w:bCs/>
                <w:szCs w:val="21"/>
                <w:highlight w:val="none"/>
                <w:u w:val="wave"/>
              </w:rPr>
            </w:pPr>
            <w:r>
              <w:rPr>
                <w:rFonts w:hint="eastAsia" w:ascii="宋体" w:hAnsi="宋体"/>
                <w:bCs/>
                <w:szCs w:val="21"/>
                <w:highlight w:val="none"/>
              </w:rPr>
              <w:t>中标结果公告</w:t>
            </w:r>
            <w:r>
              <w:rPr>
                <w:rFonts w:ascii="宋体" w:hAnsi="宋体"/>
                <w:bCs/>
                <w:szCs w:val="21"/>
                <w:highlight w:val="none"/>
              </w:rPr>
              <w:br w:type="textWrapping"/>
            </w:r>
            <w:r>
              <w:rPr>
                <w:rFonts w:hint="eastAsia" w:ascii="宋体" w:hAnsi="宋体"/>
                <w:bCs/>
                <w:szCs w:val="21"/>
                <w:highlight w:val="none"/>
              </w:rPr>
              <w:t>媒介及期限</w:t>
            </w:r>
          </w:p>
        </w:tc>
        <w:tc>
          <w:tcPr>
            <w:tcW w:w="3699" w:type="pct"/>
            <w:vAlign w:val="center"/>
          </w:tcPr>
          <w:p w14:paraId="01599E95">
            <w:pPr>
              <w:adjustRightInd w:val="0"/>
              <w:snapToGrid w:val="0"/>
              <w:spacing w:line="340" w:lineRule="exact"/>
              <w:rPr>
                <w:rFonts w:hint="eastAsia" w:ascii="宋体" w:hAnsi="宋体"/>
                <w:bCs/>
                <w:szCs w:val="21"/>
                <w:highlight w:val="none"/>
              </w:rPr>
            </w:pPr>
            <w:r>
              <w:rPr>
                <w:rFonts w:hint="eastAsia" w:ascii="宋体" w:hAnsi="宋体"/>
                <w:bCs/>
                <w:szCs w:val="21"/>
                <w:highlight w:val="none"/>
              </w:rPr>
              <w:t>公告媒介：中国招标投标公共服务平台、吉林省公共资源交易中心网（同步推送到吉林省公共资源交易公共服务平台）、吉林省交通运输厅网站。</w:t>
            </w:r>
          </w:p>
          <w:p w14:paraId="66255E3E">
            <w:pPr>
              <w:adjustRightInd w:val="0"/>
              <w:snapToGrid w:val="0"/>
              <w:spacing w:line="340" w:lineRule="exact"/>
              <w:rPr>
                <w:rFonts w:hint="eastAsia" w:ascii="宋体" w:hAnsi="宋体"/>
                <w:bCs/>
                <w:szCs w:val="21"/>
                <w:highlight w:val="none"/>
              </w:rPr>
            </w:pPr>
            <w:r>
              <w:rPr>
                <w:rFonts w:hint="eastAsia" w:ascii="宋体" w:hAnsi="宋体"/>
                <w:bCs/>
                <w:szCs w:val="21"/>
                <w:highlight w:val="none"/>
              </w:rPr>
              <w:t>公告期限：不少于3日</w:t>
            </w:r>
          </w:p>
          <w:p w14:paraId="429D5F7E">
            <w:pPr>
              <w:adjustRightInd w:val="0"/>
              <w:snapToGrid w:val="0"/>
              <w:spacing w:line="340" w:lineRule="exact"/>
              <w:rPr>
                <w:rFonts w:hint="eastAsia" w:ascii="宋体" w:hAnsi="宋体"/>
                <w:bCs/>
                <w:szCs w:val="21"/>
                <w:highlight w:val="none"/>
              </w:rPr>
            </w:pPr>
            <w:r>
              <w:rPr>
                <w:rFonts w:hint="eastAsia" w:ascii="宋体" w:hAnsi="宋体"/>
                <w:bCs/>
                <w:szCs w:val="21"/>
                <w:highlight w:val="none"/>
              </w:rPr>
              <w:t>公告的其他内容：/</w:t>
            </w:r>
          </w:p>
        </w:tc>
      </w:tr>
      <w:tr w14:paraId="55767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490" w:type="pct"/>
            <w:vAlign w:val="center"/>
          </w:tcPr>
          <w:p w14:paraId="0AE60A47">
            <w:pPr>
              <w:adjustRightInd w:val="0"/>
              <w:snapToGrid w:val="0"/>
              <w:spacing w:line="340" w:lineRule="exact"/>
              <w:jc w:val="center"/>
              <w:rPr>
                <w:rFonts w:hint="eastAsia" w:ascii="宋体" w:hAnsi="宋体"/>
                <w:bCs/>
                <w:szCs w:val="21"/>
                <w:highlight w:val="none"/>
              </w:rPr>
            </w:pPr>
            <w:r>
              <w:rPr>
                <w:rFonts w:hint="eastAsia" w:ascii="宋体" w:hAnsi="宋体"/>
                <w:bCs/>
                <w:szCs w:val="21"/>
                <w:highlight w:val="none"/>
              </w:rPr>
              <w:t>7.7.1</w:t>
            </w:r>
          </w:p>
        </w:tc>
        <w:tc>
          <w:tcPr>
            <w:tcW w:w="811" w:type="pct"/>
            <w:vAlign w:val="center"/>
          </w:tcPr>
          <w:p w14:paraId="3624F9DE">
            <w:pPr>
              <w:adjustRightInd w:val="0"/>
              <w:snapToGrid w:val="0"/>
              <w:spacing w:line="340" w:lineRule="exact"/>
              <w:jc w:val="center"/>
              <w:rPr>
                <w:rFonts w:hint="eastAsia" w:ascii="宋体" w:hAnsi="宋体"/>
                <w:bCs/>
                <w:szCs w:val="21"/>
                <w:highlight w:val="none"/>
              </w:rPr>
            </w:pPr>
            <w:r>
              <w:rPr>
                <w:rFonts w:hint="eastAsia" w:ascii="宋体" w:hAnsi="宋体"/>
                <w:bCs/>
                <w:szCs w:val="21"/>
                <w:highlight w:val="none"/>
              </w:rPr>
              <w:t>履约保证金</w:t>
            </w:r>
          </w:p>
        </w:tc>
        <w:tc>
          <w:tcPr>
            <w:tcW w:w="3699" w:type="pct"/>
            <w:vAlign w:val="center"/>
          </w:tcPr>
          <w:p w14:paraId="56536CA9">
            <w:pPr>
              <w:adjustRightInd w:val="0"/>
              <w:snapToGrid w:val="0"/>
              <w:spacing w:line="340" w:lineRule="exact"/>
              <w:rPr>
                <w:rFonts w:hint="eastAsia" w:ascii="宋体" w:hAnsi="宋体"/>
                <w:bCs/>
                <w:szCs w:val="21"/>
                <w:highlight w:val="none"/>
              </w:rPr>
            </w:pPr>
            <w:r>
              <w:rPr>
                <w:rFonts w:hint="eastAsia" w:ascii="宋体" w:hAnsi="宋体"/>
                <w:bCs/>
                <w:szCs w:val="21"/>
                <w:highlight w:val="none"/>
              </w:rPr>
              <w:t>是否要求中标人提交履约保证金：</w:t>
            </w:r>
          </w:p>
          <w:p w14:paraId="43929CB4">
            <w:pPr>
              <w:adjustRightInd w:val="0"/>
              <w:snapToGrid w:val="0"/>
              <w:spacing w:line="340" w:lineRule="exact"/>
              <w:rPr>
                <w:rFonts w:hint="eastAsia" w:ascii="宋体" w:hAnsi="宋体"/>
                <w:bCs/>
                <w:szCs w:val="21"/>
                <w:highlight w:val="none"/>
              </w:rPr>
            </w:pPr>
            <w:r>
              <w:rPr>
                <w:rFonts w:hint="eastAsia" w:ascii="宋体" w:hAnsi="宋体"/>
                <w:bCs/>
                <w:szCs w:val="21"/>
                <w:highlight w:val="none"/>
              </w:rPr>
              <w:t xml:space="preserve"> </w:t>
            </w:r>
            <w:r>
              <w:rPr>
                <w:rFonts w:ascii="Segoe UI Symbol" w:hAnsi="Segoe UI Symbol" w:eastAsia="黑体" w:cs="Segoe UI Symbol"/>
                <w:bCs/>
                <w:szCs w:val="21"/>
                <w:highlight w:val="none"/>
              </w:rPr>
              <w:t>☑</w:t>
            </w:r>
            <w:r>
              <w:rPr>
                <w:rFonts w:hint="eastAsia" w:ascii="黑体" w:hAnsi="黑体" w:eastAsia="黑体"/>
                <w:bCs/>
                <w:szCs w:val="21"/>
                <w:highlight w:val="none"/>
              </w:rPr>
              <w:t>要求</w:t>
            </w:r>
            <w:r>
              <w:rPr>
                <w:rFonts w:hint="eastAsia" w:ascii="宋体" w:hAnsi="宋体"/>
                <w:bCs/>
                <w:szCs w:val="21"/>
                <w:highlight w:val="none"/>
              </w:rPr>
              <w:t>，履约保证金的形式：现金、支票、银行保函、担保机构保函或招标人认可的其他形式。</w:t>
            </w:r>
          </w:p>
          <w:p w14:paraId="6A92842C">
            <w:pPr>
              <w:adjustRightInd w:val="0"/>
              <w:snapToGrid w:val="0"/>
              <w:spacing w:line="340" w:lineRule="exact"/>
              <w:rPr>
                <w:rFonts w:hint="eastAsia" w:ascii="宋体" w:hAnsi="宋体"/>
                <w:bCs/>
                <w:szCs w:val="21"/>
                <w:highlight w:val="none"/>
              </w:rPr>
            </w:pPr>
            <w:r>
              <w:rPr>
                <w:rFonts w:hint="eastAsia" w:ascii="宋体" w:hAnsi="宋体"/>
                <w:bCs/>
                <w:szCs w:val="21"/>
                <w:highlight w:val="none"/>
              </w:rPr>
              <w:t>履约保证金金额：</w:t>
            </w:r>
            <w:r>
              <w:rPr>
                <w:rFonts w:hint="eastAsia" w:ascii="黑体" w:hAnsi="黑体" w:eastAsia="黑体"/>
                <w:bCs/>
                <w:szCs w:val="21"/>
                <w:highlight w:val="none"/>
              </w:rPr>
              <w:t>5%签约合同价</w:t>
            </w:r>
            <w:r>
              <w:rPr>
                <w:rFonts w:hint="eastAsia" w:ascii="宋体" w:hAnsi="宋体"/>
                <w:bCs/>
                <w:szCs w:val="21"/>
                <w:highlight w:val="none"/>
              </w:rPr>
              <w:t>。</w:t>
            </w:r>
          </w:p>
          <w:p w14:paraId="59BD7D22">
            <w:pPr>
              <w:adjustRightInd w:val="0"/>
              <w:snapToGrid w:val="0"/>
              <w:spacing w:line="340" w:lineRule="exact"/>
              <w:rPr>
                <w:rFonts w:hint="eastAsia" w:ascii="宋体" w:hAnsi="宋体"/>
                <w:bCs/>
                <w:szCs w:val="21"/>
                <w:highlight w:val="none"/>
              </w:rPr>
            </w:pPr>
            <w:r>
              <w:rPr>
                <w:rFonts w:hint="eastAsia" w:ascii="宋体" w:hAnsi="宋体"/>
                <w:bCs/>
                <w:szCs w:val="21"/>
                <w:highlight w:val="none"/>
              </w:rPr>
              <w:t>注意：采用现金或支票形式时，应由中标人的基本账户转入发包人指定账户。</w:t>
            </w:r>
          </w:p>
        </w:tc>
      </w:tr>
      <w:tr w14:paraId="3568E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490" w:type="pct"/>
            <w:vAlign w:val="center"/>
          </w:tcPr>
          <w:p w14:paraId="3BE25274">
            <w:pPr>
              <w:adjustRightInd w:val="0"/>
              <w:snapToGrid w:val="0"/>
              <w:spacing w:line="340" w:lineRule="exact"/>
              <w:jc w:val="center"/>
              <w:rPr>
                <w:rFonts w:hint="eastAsia" w:ascii="宋体" w:hAnsi="宋体"/>
                <w:bCs/>
                <w:szCs w:val="21"/>
                <w:highlight w:val="none"/>
              </w:rPr>
            </w:pPr>
            <w:r>
              <w:rPr>
                <w:rFonts w:hint="eastAsia" w:ascii="宋体" w:hAnsi="宋体"/>
                <w:bCs/>
                <w:szCs w:val="21"/>
                <w:highlight w:val="none"/>
              </w:rPr>
              <w:t>8.5.1</w:t>
            </w:r>
          </w:p>
        </w:tc>
        <w:tc>
          <w:tcPr>
            <w:tcW w:w="811" w:type="pct"/>
            <w:vAlign w:val="center"/>
          </w:tcPr>
          <w:p w14:paraId="7481EF33">
            <w:pPr>
              <w:adjustRightInd w:val="0"/>
              <w:snapToGrid w:val="0"/>
              <w:spacing w:line="340" w:lineRule="exact"/>
              <w:jc w:val="center"/>
              <w:rPr>
                <w:rFonts w:hint="eastAsia" w:ascii="宋体" w:hAnsi="宋体"/>
                <w:bCs/>
                <w:szCs w:val="21"/>
                <w:highlight w:val="none"/>
              </w:rPr>
            </w:pPr>
            <w:r>
              <w:rPr>
                <w:rFonts w:hint="eastAsia" w:ascii="宋体" w:hAnsi="宋体"/>
                <w:bCs/>
                <w:szCs w:val="21"/>
                <w:highlight w:val="none"/>
              </w:rPr>
              <w:t>监督部门</w:t>
            </w:r>
          </w:p>
        </w:tc>
        <w:tc>
          <w:tcPr>
            <w:tcW w:w="3699" w:type="pct"/>
            <w:vAlign w:val="center"/>
          </w:tcPr>
          <w:p w14:paraId="59095473">
            <w:pPr>
              <w:spacing w:line="340" w:lineRule="exact"/>
              <w:rPr>
                <w:rFonts w:hint="eastAsia" w:ascii="黑体" w:hAnsi="黑体" w:eastAsia="黑体"/>
                <w:bCs/>
                <w:szCs w:val="21"/>
                <w:highlight w:val="none"/>
              </w:rPr>
            </w:pPr>
            <w:r>
              <w:rPr>
                <w:rFonts w:hint="eastAsia" w:ascii="宋体" w:hAnsi="宋体"/>
                <w:bCs/>
                <w:szCs w:val="21"/>
                <w:highlight w:val="none"/>
              </w:rPr>
              <w:t>监督部门：</w:t>
            </w:r>
            <w:r>
              <w:rPr>
                <w:rFonts w:hint="eastAsia" w:ascii="黑体" w:hAnsi="黑体" w:eastAsia="黑体"/>
                <w:bCs/>
                <w:szCs w:val="21"/>
                <w:highlight w:val="none"/>
              </w:rPr>
              <w:t>吉林省交通运输厅</w:t>
            </w:r>
          </w:p>
          <w:p w14:paraId="55F99BA3">
            <w:pPr>
              <w:spacing w:line="340" w:lineRule="exact"/>
              <w:rPr>
                <w:rFonts w:hint="eastAsia" w:ascii="宋体" w:hAnsi="宋体"/>
                <w:bCs/>
                <w:szCs w:val="21"/>
                <w:highlight w:val="none"/>
              </w:rPr>
            </w:pPr>
            <w:r>
              <w:rPr>
                <w:rFonts w:hint="eastAsia" w:ascii="宋体" w:hAnsi="宋体"/>
                <w:bCs/>
                <w:szCs w:val="21"/>
                <w:highlight w:val="none"/>
              </w:rPr>
              <w:t>地　　址：吉林省长春市解放大路2518号交通大厦</w:t>
            </w:r>
          </w:p>
          <w:p w14:paraId="63D4B094">
            <w:pPr>
              <w:spacing w:line="340" w:lineRule="exact"/>
              <w:rPr>
                <w:rFonts w:hint="eastAsia" w:ascii="宋体" w:hAnsi="宋体"/>
                <w:bCs/>
                <w:szCs w:val="21"/>
                <w:highlight w:val="none"/>
              </w:rPr>
            </w:pPr>
            <w:r>
              <w:rPr>
                <w:rFonts w:hint="eastAsia" w:ascii="宋体" w:hAnsi="宋体"/>
                <w:bCs/>
                <w:szCs w:val="21"/>
                <w:highlight w:val="none"/>
              </w:rPr>
              <w:t>电　　话：0431-85097540</w:t>
            </w:r>
          </w:p>
          <w:p w14:paraId="7186FAF9">
            <w:pPr>
              <w:spacing w:line="340" w:lineRule="exact"/>
              <w:rPr>
                <w:rFonts w:hint="eastAsia" w:ascii="宋体" w:hAnsi="宋体"/>
                <w:bCs/>
                <w:szCs w:val="21"/>
                <w:highlight w:val="none"/>
              </w:rPr>
            </w:pPr>
            <w:r>
              <w:rPr>
                <w:rFonts w:ascii="宋体" w:hAnsi="宋体"/>
                <w:bCs/>
                <w:szCs w:val="21"/>
                <w:highlight w:val="none"/>
              </w:rPr>
              <w:t>传</w:t>
            </w:r>
            <w:r>
              <w:rPr>
                <w:rFonts w:hint="eastAsia" w:ascii="宋体" w:hAnsi="宋体"/>
                <w:bCs/>
                <w:szCs w:val="21"/>
                <w:highlight w:val="none"/>
              </w:rPr>
              <w:t xml:space="preserve"> </w:t>
            </w:r>
            <w:r>
              <w:rPr>
                <w:rFonts w:ascii="宋体" w:hAnsi="宋体"/>
                <w:bCs/>
                <w:szCs w:val="21"/>
                <w:highlight w:val="none"/>
              </w:rPr>
              <w:t xml:space="preserve">   真：</w:t>
            </w:r>
            <w:r>
              <w:rPr>
                <w:rFonts w:hint="eastAsia" w:ascii="宋体" w:hAnsi="宋体"/>
                <w:bCs/>
                <w:szCs w:val="21"/>
                <w:highlight w:val="none"/>
              </w:rPr>
              <w:t>0431-85097540</w:t>
            </w:r>
          </w:p>
          <w:p w14:paraId="0EE2FF4D">
            <w:pPr>
              <w:adjustRightInd w:val="0"/>
              <w:snapToGrid w:val="0"/>
              <w:spacing w:line="340" w:lineRule="exact"/>
              <w:rPr>
                <w:rFonts w:hint="eastAsia" w:ascii="宋体" w:hAnsi="宋体"/>
                <w:bCs/>
                <w:szCs w:val="21"/>
                <w:highlight w:val="none"/>
              </w:rPr>
            </w:pPr>
            <w:r>
              <w:rPr>
                <w:rFonts w:hint="eastAsia" w:ascii="宋体" w:hAnsi="宋体"/>
                <w:bCs/>
                <w:szCs w:val="21"/>
                <w:highlight w:val="none"/>
              </w:rPr>
              <w:t>邮政</w:t>
            </w:r>
            <w:r>
              <w:rPr>
                <w:rFonts w:ascii="宋体" w:hAnsi="宋体"/>
                <w:bCs/>
                <w:szCs w:val="21"/>
                <w:highlight w:val="none"/>
              </w:rPr>
              <w:t>编码：</w:t>
            </w:r>
            <w:r>
              <w:rPr>
                <w:rFonts w:hint="eastAsia" w:ascii="宋体" w:hAnsi="宋体"/>
                <w:bCs/>
                <w:szCs w:val="21"/>
                <w:highlight w:val="none"/>
              </w:rPr>
              <w:t>130021</w:t>
            </w:r>
          </w:p>
        </w:tc>
      </w:tr>
      <w:tr w14:paraId="77D35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490" w:type="pct"/>
            <w:vAlign w:val="center"/>
          </w:tcPr>
          <w:p w14:paraId="1568B714">
            <w:pPr>
              <w:adjustRightInd w:val="0"/>
              <w:snapToGrid w:val="0"/>
              <w:spacing w:line="340" w:lineRule="exact"/>
              <w:jc w:val="center"/>
              <w:rPr>
                <w:rFonts w:hint="eastAsia" w:ascii="宋体" w:hAnsi="宋体"/>
                <w:bCs/>
                <w:szCs w:val="21"/>
                <w:highlight w:val="none"/>
              </w:rPr>
            </w:pPr>
            <w:r>
              <w:rPr>
                <w:rFonts w:hint="eastAsia" w:ascii="宋体" w:hAnsi="宋体"/>
                <w:bCs/>
                <w:szCs w:val="21"/>
                <w:highlight w:val="none"/>
              </w:rPr>
              <w:t>9</w:t>
            </w:r>
          </w:p>
        </w:tc>
        <w:tc>
          <w:tcPr>
            <w:tcW w:w="811" w:type="pct"/>
            <w:vAlign w:val="center"/>
          </w:tcPr>
          <w:p w14:paraId="6D443D40">
            <w:pPr>
              <w:adjustRightInd w:val="0"/>
              <w:snapToGrid w:val="0"/>
              <w:spacing w:line="340" w:lineRule="exact"/>
              <w:jc w:val="center"/>
              <w:rPr>
                <w:rFonts w:hint="eastAsia" w:ascii="宋体" w:hAnsi="宋体"/>
                <w:bCs/>
                <w:szCs w:val="21"/>
                <w:highlight w:val="none"/>
              </w:rPr>
            </w:pPr>
            <w:r>
              <w:rPr>
                <w:rFonts w:hint="eastAsia" w:ascii="宋体" w:hAnsi="宋体"/>
                <w:bCs/>
                <w:szCs w:val="21"/>
                <w:highlight w:val="none"/>
              </w:rPr>
              <w:t>是否采用电子招标投标</w:t>
            </w:r>
          </w:p>
        </w:tc>
        <w:tc>
          <w:tcPr>
            <w:tcW w:w="3699" w:type="pct"/>
            <w:vAlign w:val="center"/>
          </w:tcPr>
          <w:p w14:paraId="6DEEA8EC">
            <w:pPr>
              <w:adjustRightInd w:val="0"/>
              <w:snapToGrid w:val="0"/>
              <w:spacing w:line="340" w:lineRule="exact"/>
              <w:ind w:firstLine="210" w:firstLineChars="100"/>
              <w:rPr>
                <w:rFonts w:hint="eastAsia" w:ascii="宋体" w:hAnsi="宋体" w:cs="宋体"/>
                <w:bCs/>
                <w:kern w:val="0"/>
                <w:szCs w:val="21"/>
                <w:highlight w:val="none"/>
              </w:rPr>
            </w:pPr>
            <w:r>
              <w:rPr>
                <w:rFonts w:hint="eastAsia" w:ascii="宋体" w:hAnsi="宋体" w:cs="宋体"/>
                <w:bCs/>
                <w:kern w:val="0"/>
                <w:szCs w:val="21"/>
                <w:highlight w:val="none"/>
              </w:rPr>
              <w:t>是</w:t>
            </w:r>
          </w:p>
        </w:tc>
      </w:tr>
      <w:tr w14:paraId="0388E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5000" w:type="pct"/>
            <w:gridSpan w:val="3"/>
            <w:vAlign w:val="center"/>
          </w:tcPr>
          <w:p w14:paraId="5971F31F">
            <w:pPr>
              <w:adjustRightInd w:val="0"/>
              <w:snapToGrid w:val="0"/>
              <w:spacing w:line="340" w:lineRule="exact"/>
              <w:ind w:firstLine="210" w:firstLineChars="100"/>
              <w:rPr>
                <w:rFonts w:hint="eastAsia" w:ascii="宋体" w:hAnsi="宋体" w:cs="宋体"/>
                <w:bCs/>
                <w:kern w:val="0"/>
                <w:szCs w:val="21"/>
                <w:highlight w:val="none"/>
              </w:rPr>
            </w:pPr>
            <w:bookmarkStart w:id="83" w:name="OLE_LINK136"/>
            <w:r>
              <w:rPr>
                <w:rFonts w:hint="eastAsia" w:ascii="宋体" w:hAnsi="宋体" w:cs="宋体"/>
                <w:bCs/>
                <w:kern w:val="0"/>
                <w:szCs w:val="21"/>
                <w:highlight w:val="none"/>
              </w:rPr>
              <w:t>需要补充的其他内容</w:t>
            </w:r>
          </w:p>
        </w:tc>
      </w:tr>
      <w:tr w14:paraId="0CB1D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5000" w:type="pct"/>
            <w:gridSpan w:val="3"/>
            <w:vAlign w:val="center"/>
          </w:tcPr>
          <w:p w14:paraId="26B10328">
            <w:pPr>
              <w:adjustRightInd w:val="0"/>
              <w:snapToGrid w:val="0"/>
              <w:spacing w:line="340" w:lineRule="exact"/>
              <w:ind w:firstLine="420" w:firstLineChars="200"/>
              <w:rPr>
                <w:rFonts w:hint="eastAsia" w:ascii="宋体" w:hAnsi="宋体"/>
                <w:bCs/>
                <w:szCs w:val="21"/>
                <w:highlight w:val="none"/>
              </w:rPr>
            </w:pPr>
            <w:bookmarkStart w:id="84" w:name="OLE_LINK112"/>
            <w:r>
              <w:rPr>
                <w:rFonts w:hint="eastAsia" w:ascii="黑体" w:hAnsi="黑体" w:eastAsia="黑体"/>
                <w:bCs/>
                <w:szCs w:val="21"/>
                <w:highlight w:val="none"/>
              </w:rPr>
              <w:t>10.</w:t>
            </w:r>
            <w:bookmarkStart w:id="85" w:name="OLE_LINK84"/>
            <w:r>
              <w:rPr>
                <w:rFonts w:hint="eastAsia" w:ascii="黑体" w:hAnsi="黑体" w:eastAsia="黑体"/>
                <w:bCs/>
                <w:szCs w:val="21"/>
                <w:highlight w:val="none"/>
              </w:rPr>
              <w:t>2 “双盲”评审：</w:t>
            </w:r>
            <w:r>
              <w:rPr>
                <w:rFonts w:ascii="宋体" w:hAnsi="宋体"/>
                <w:bCs/>
                <w:szCs w:val="21"/>
                <w:highlight w:val="none"/>
              </w:rPr>
              <w:t>本项目采用“双盲”评审，即评标专家“盲抽”和“盲评”，</w:t>
            </w:r>
            <w:r>
              <w:rPr>
                <w:rFonts w:ascii="黑体" w:hAnsi="黑体" w:eastAsia="黑体"/>
                <w:bCs/>
                <w:szCs w:val="21"/>
                <w:highlight w:val="none"/>
              </w:rPr>
              <w:t>投标文件的施工组织设计部分采用“暗标”形式</w:t>
            </w:r>
            <w:r>
              <w:rPr>
                <w:rFonts w:ascii="宋体" w:hAnsi="宋体"/>
                <w:bCs/>
                <w:szCs w:val="21"/>
                <w:highlight w:val="none"/>
              </w:rPr>
              <w:t>，投标人应严格按照“第九章投标文件格式”中的要求编制施工组织设计。如果施工组织设计出现能识别投标人的内容，经评标委员会确定后，将否决其投标。</w:t>
            </w:r>
          </w:p>
          <w:bookmarkEnd w:id="84"/>
          <w:p w14:paraId="6FD2D19F">
            <w:pPr>
              <w:widowControl/>
              <w:shd w:val="clear" w:color="auto" w:fill="FFFFFF"/>
              <w:wordWrap w:val="0"/>
              <w:adjustRightInd w:val="0"/>
              <w:spacing w:before="240" w:beforeLines="100" w:line="340" w:lineRule="exact"/>
              <w:ind w:firstLine="420" w:firstLineChars="200"/>
              <w:rPr>
                <w:rFonts w:hint="eastAsia" w:ascii="宋体" w:hAnsi="宋体" w:cs="宋体"/>
                <w:bCs/>
                <w:color w:val="363D45"/>
                <w:kern w:val="0"/>
                <w:szCs w:val="21"/>
                <w:highlight w:val="none"/>
              </w:rPr>
            </w:pPr>
            <w:r>
              <w:rPr>
                <w:rFonts w:hint="eastAsia" w:ascii="黑体" w:hAnsi="黑体" w:eastAsia="黑体" w:cs="宋体"/>
                <w:bCs/>
                <w:kern w:val="0"/>
                <w:szCs w:val="21"/>
                <w:highlight w:val="none"/>
              </w:rPr>
              <w:t>10.3</w:t>
            </w:r>
            <w:r>
              <w:rPr>
                <w:rFonts w:hint="eastAsia" w:ascii="黑体" w:hAnsi="黑体" w:eastAsia="黑体" w:cs="宋体"/>
                <w:bCs/>
                <w:szCs w:val="21"/>
                <w:highlight w:val="none"/>
              </w:rPr>
              <w:t>一体化平台：</w:t>
            </w:r>
            <w:bookmarkStart w:id="86" w:name="OLE_LINK85"/>
            <w:r>
              <w:rPr>
                <w:rFonts w:hint="eastAsia" w:ascii="宋体" w:hAnsi="宋体" w:cs="宋体"/>
                <w:bCs/>
                <w:color w:val="363D45"/>
                <w:szCs w:val="21"/>
                <w:highlight w:val="none"/>
              </w:rPr>
              <w:fldChar w:fldCharType="begin"/>
            </w:r>
            <w:r>
              <w:rPr>
                <w:rFonts w:hint="eastAsia" w:ascii="宋体" w:hAnsi="宋体" w:cs="宋体"/>
                <w:bCs/>
                <w:color w:val="363D45"/>
                <w:szCs w:val="21"/>
                <w:highlight w:val="none"/>
              </w:rPr>
              <w:instrText xml:space="preserve"> = 1 \* GB3 </w:instrText>
            </w:r>
            <w:r>
              <w:rPr>
                <w:rFonts w:hint="eastAsia" w:ascii="宋体" w:hAnsi="宋体" w:cs="宋体"/>
                <w:bCs/>
                <w:color w:val="363D45"/>
                <w:szCs w:val="21"/>
                <w:highlight w:val="none"/>
              </w:rPr>
              <w:fldChar w:fldCharType="separate"/>
            </w:r>
            <w:r>
              <w:rPr>
                <w:rFonts w:hint="eastAsia" w:ascii="宋体" w:hAnsi="宋体" w:cs="宋体"/>
                <w:bCs/>
                <w:color w:val="363D45"/>
                <w:szCs w:val="21"/>
                <w:highlight w:val="none"/>
              </w:rPr>
              <w:t>①</w:t>
            </w:r>
            <w:r>
              <w:rPr>
                <w:rFonts w:hint="eastAsia" w:ascii="宋体" w:hAnsi="宋体" w:cs="宋体"/>
                <w:bCs/>
                <w:color w:val="363D45"/>
                <w:szCs w:val="21"/>
                <w:highlight w:val="none"/>
              </w:rPr>
              <w:fldChar w:fldCharType="end"/>
            </w:r>
            <w:bookmarkEnd w:id="86"/>
            <w:r>
              <w:rPr>
                <w:rFonts w:hint="eastAsia" w:ascii="宋体" w:hAnsi="宋体" w:cs="宋体"/>
                <w:bCs/>
                <w:color w:val="363D45"/>
                <w:szCs w:val="21"/>
                <w:highlight w:val="none"/>
              </w:rPr>
              <w:t>本次招投标使用公共资源交易一体化平台系统，具体要求详见《关于做好全省公共资源交易一体化平台全面运行工作的通知》（吉政数联〔2022〕5号）文件。</w:t>
            </w:r>
          </w:p>
          <w:p w14:paraId="05C0B488">
            <w:pPr>
              <w:widowControl/>
              <w:shd w:val="clear" w:color="auto" w:fill="FFFFFF"/>
              <w:kinsoku w:val="0"/>
              <w:wordWrap w:val="0"/>
              <w:autoSpaceDE w:val="0"/>
              <w:adjustRightInd w:val="0"/>
              <w:spacing w:line="340" w:lineRule="exact"/>
              <w:ind w:firstLine="420" w:firstLineChars="200"/>
              <w:rPr>
                <w:rFonts w:hint="eastAsia" w:ascii="宋体" w:hAnsi="宋体" w:cs="宋体"/>
                <w:bCs/>
                <w:color w:val="363D45"/>
                <w:szCs w:val="21"/>
                <w:highlight w:val="none"/>
              </w:rPr>
            </w:pPr>
            <w:bookmarkStart w:id="87" w:name="OLE_LINK87"/>
            <w:r>
              <w:rPr>
                <w:rFonts w:hint="eastAsia" w:ascii="宋体" w:hAnsi="宋体" w:cs="宋体"/>
                <w:bCs/>
                <w:color w:val="363D45"/>
                <w:szCs w:val="21"/>
                <w:highlight w:val="none"/>
              </w:rPr>
              <w:fldChar w:fldCharType="begin"/>
            </w:r>
            <w:r>
              <w:rPr>
                <w:rFonts w:hint="eastAsia" w:ascii="宋体" w:hAnsi="宋体" w:cs="宋体"/>
                <w:bCs/>
                <w:color w:val="363D45"/>
                <w:szCs w:val="21"/>
                <w:highlight w:val="none"/>
              </w:rPr>
              <w:instrText xml:space="preserve"> = 2 \* GB3 </w:instrText>
            </w:r>
            <w:r>
              <w:rPr>
                <w:rFonts w:hint="eastAsia" w:ascii="宋体" w:hAnsi="宋体" w:cs="宋体"/>
                <w:bCs/>
                <w:color w:val="363D45"/>
                <w:szCs w:val="21"/>
                <w:highlight w:val="none"/>
              </w:rPr>
              <w:fldChar w:fldCharType="separate"/>
            </w:r>
            <w:r>
              <w:rPr>
                <w:rFonts w:hint="eastAsia" w:ascii="宋体" w:hAnsi="宋体" w:cs="宋体"/>
                <w:bCs/>
                <w:color w:val="363D45"/>
                <w:szCs w:val="21"/>
                <w:highlight w:val="none"/>
              </w:rPr>
              <w:t>②</w:t>
            </w:r>
            <w:r>
              <w:rPr>
                <w:rFonts w:hint="eastAsia" w:ascii="宋体" w:hAnsi="宋体" w:cs="宋体"/>
                <w:bCs/>
                <w:color w:val="363D45"/>
                <w:szCs w:val="21"/>
                <w:highlight w:val="none"/>
              </w:rPr>
              <w:fldChar w:fldCharType="end"/>
            </w:r>
            <w:bookmarkEnd w:id="87"/>
            <w:r>
              <w:rPr>
                <w:rFonts w:hint="eastAsia" w:ascii="宋体" w:hAnsi="宋体" w:cs="宋体"/>
                <w:bCs/>
                <w:color w:val="363D45"/>
                <w:szCs w:val="21"/>
                <w:highlight w:val="none"/>
              </w:rPr>
              <w:t>招投标交易主体及有关方面登录公共资源交易公共服务平台（https://www.ggzyyth.jl.cn/EpointSSO/memberLogin）完善主体信息后，再登录一体化平台系统（https://www.ggzyyth.jl.cn/TPBidder）开展交易活动。</w:t>
            </w:r>
          </w:p>
          <w:p w14:paraId="4CDA6AF2">
            <w:pPr>
              <w:widowControl/>
              <w:shd w:val="clear" w:color="auto" w:fill="FFFFFF"/>
              <w:wordWrap w:val="0"/>
              <w:adjustRightInd w:val="0"/>
              <w:spacing w:line="340" w:lineRule="exact"/>
              <w:ind w:firstLine="420" w:firstLineChars="200"/>
              <w:rPr>
                <w:rFonts w:hint="eastAsia" w:ascii="宋体" w:hAnsi="宋体"/>
                <w:bCs/>
                <w:szCs w:val="21"/>
                <w:highlight w:val="none"/>
              </w:rPr>
            </w:pPr>
            <w:bookmarkStart w:id="88" w:name="OLE_LINK88"/>
            <w:r>
              <w:rPr>
                <w:rFonts w:hint="eastAsia" w:ascii="宋体" w:hAnsi="宋体" w:cs="宋体"/>
                <w:bCs/>
                <w:color w:val="363D45"/>
                <w:szCs w:val="21"/>
                <w:highlight w:val="none"/>
              </w:rPr>
              <w:fldChar w:fldCharType="begin"/>
            </w:r>
            <w:r>
              <w:rPr>
                <w:rFonts w:hint="eastAsia" w:ascii="宋体" w:hAnsi="宋体" w:cs="宋体"/>
                <w:bCs/>
                <w:color w:val="363D45"/>
                <w:szCs w:val="21"/>
                <w:highlight w:val="none"/>
              </w:rPr>
              <w:instrText xml:space="preserve"> = 3 \* GB3 </w:instrText>
            </w:r>
            <w:r>
              <w:rPr>
                <w:rFonts w:hint="eastAsia" w:ascii="宋体" w:hAnsi="宋体" w:cs="宋体"/>
                <w:bCs/>
                <w:color w:val="363D45"/>
                <w:szCs w:val="21"/>
                <w:highlight w:val="none"/>
              </w:rPr>
              <w:fldChar w:fldCharType="separate"/>
            </w:r>
            <w:r>
              <w:rPr>
                <w:rFonts w:hint="eastAsia" w:ascii="宋体" w:hAnsi="宋体" w:cs="宋体"/>
                <w:bCs/>
                <w:color w:val="363D45"/>
                <w:szCs w:val="21"/>
                <w:highlight w:val="none"/>
              </w:rPr>
              <w:t>③</w:t>
            </w:r>
            <w:r>
              <w:rPr>
                <w:rFonts w:hint="eastAsia" w:ascii="宋体" w:hAnsi="宋体" w:cs="宋体"/>
                <w:bCs/>
                <w:color w:val="363D45"/>
                <w:szCs w:val="21"/>
                <w:highlight w:val="none"/>
              </w:rPr>
              <w:fldChar w:fldCharType="end"/>
            </w:r>
            <w:bookmarkEnd w:id="88"/>
            <w:r>
              <w:rPr>
                <w:rFonts w:hint="eastAsia" w:ascii="宋体" w:hAnsi="宋体"/>
                <w:bCs/>
                <w:szCs w:val="21"/>
                <w:highlight w:val="none"/>
              </w:rPr>
              <w:t>一体化平台实现数字证书（CA锁，含电子签章）全省互用。已办理过CA锁的交易主体，CA锁未到期限的，在办理一体化平台业务时，无需重新办理，只需在一体化平台上进行绑定激活，即可使用。拟新办CA锁的交易主体，可在任一平台及场所办理一体化平台数字证书CA锁。一体化平台技术咨询服务电话：0431-82752720。</w:t>
            </w:r>
          </w:p>
          <w:p w14:paraId="72459FD3">
            <w:pPr>
              <w:wordWrap w:val="0"/>
              <w:adjustRightInd w:val="0"/>
              <w:snapToGrid w:val="0"/>
              <w:spacing w:line="340" w:lineRule="exact"/>
              <w:ind w:firstLine="420" w:firstLineChars="200"/>
              <w:rPr>
                <w:rFonts w:hint="eastAsia" w:ascii="宋体" w:hAnsi="宋体" w:cs="宋体"/>
                <w:bCs/>
                <w:color w:val="363D45"/>
                <w:szCs w:val="21"/>
                <w:highlight w:val="none"/>
              </w:rPr>
            </w:pPr>
            <w:r>
              <w:rPr>
                <w:rFonts w:hint="eastAsia" w:ascii="宋体" w:hAnsi="宋体" w:cs="宋体"/>
                <w:bCs/>
                <w:color w:val="363D45"/>
                <w:szCs w:val="21"/>
                <w:highlight w:val="none"/>
              </w:rPr>
              <w:fldChar w:fldCharType="begin"/>
            </w:r>
            <w:r>
              <w:rPr>
                <w:rFonts w:hint="eastAsia" w:ascii="宋体" w:hAnsi="宋体" w:cs="宋体"/>
                <w:bCs/>
                <w:color w:val="363D45"/>
                <w:szCs w:val="21"/>
                <w:highlight w:val="none"/>
              </w:rPr>
              <w:instrText xml:space="preserve"> = 4 \* GB3 </w:instrText>
            </w:r>
            <w:r>
              <w:rPr>
                <w:rFonts w:hint="eastAsia" w:ascii="宋体" w:hAnsi="宋体" w:cs="宋体"/>
                <w:bCs/>
                <w:color w:val="363D45"/>
                <w:szCs w:val="21"/>
                <w:highlight w:val="none"/>
              </w:rPr>
              <w:fldChar w:fldCharType="separate"/>
            </w:r>
            <w:r>
              <w:rPr>
                <w:rFonts w:hint="eastAsia" w:ascii="宋体" w:hAnsi="宋体" w:cs="宋体"/>
                <w:bCs/>
                <w:color w:val="363D45"/>
                <w:szCs w:val="21"/>
                <w:highlight w:val="none"/>
              </w:rPr>
              <w:t>④</w:t>
            </w:r>
            <w:r>
              <w:rPr>
                <w:rFonts w:hint="eastAsia" w:ascii="宋体" w:hAnsi="宋体" w:cs="宋体"/>
                <w:bCs/>
                <w:color w:val="363D45"/>
                <w:szCs w:val="21"/>
                <w:highlight w:val="none"/>
              </w:rPr>
              <w:fldChar w:fldCharType="end"/>
            </w:r>
            <w:r>
              <w:rPr>
                <w:rFonts w:hint="eastAsia" w:ascii="宋体" w:hAnsi="宋体" w:cs="宋体"/>
                <w:bCs/>
                <w:color w:val="363D45"/>
                <w:szCs w:val="21"/>
                <w:highlight w:val="none"/>
              </w:rPr>
              <w:t>投标人在“吉林省公路建设场信用信息服务系统”（以下简称“省公路信</w:t>
            </w:r>
            <w:bookmarkEnd w:id="85"/>
            <w:r>
              <w:rPr>
                <w:rFonts w:hint="eastAsia" w:ascii="宋体" w:hAnsi="宋体" w:cs="宋体"/>
                <w:bCs/>
                <w:color w:val="363D45"/>
                <w:szCs w:val="21"/>
                <w:highlight w:val="none"/>
              </w:rPr>
              <w:t>息系统”）完成注册及信息填报，具体操作流程详见“吉林省交通运输厅关于征集公路养护项目从业企业信息有关情况的公告”。</w:t>
            </w:r>
            <w:r>
              <w:rPr>
                <w:rFonts w:hint="eastAsia" w:ascii="黑体" w:hAnsi="黑体" w:eastAsia="黑体" w:cs="宋体"/>
                <w:bCs/>
                <w:color w:val="363D45"/>
                <w:szCs w:val="21"/>
                <w:highlight w:val="none"/>
              </w:rPr>
              <w:t>投标人宜在投标截止时间15天前完成省公路信息系统注册及信息填报</w:t>
            </w:r>
            <w:r>
              <w:rPr>
                <w:rFonts w:hint="eastAsia" w:ascii="宋体" w:hAnsi="宋体" w:cs="宋体"/>
                <w:bCs/>
                <w:color w:val="363D45"/>
                <w:szCs w:val="21"/>
                <w:highlight w:val="none"/>
              </w:rPr>
              <w:t>，咨询电话17390034503。</w:t>
            </w:r>
          </w:p>
          <w:p w14:paraId="741160A7">
            <w:pPr>
              <w:wordWrap w:val="0"/>
              <w:adjustRightInd w:val="0"/>
              <w:snapToGrid w:val="0"/>
              <w:spacing w:before="240" w:beforeLines="100" w:line="340" w:lineRule="exact"/>
              <w:ind w:firstLine="420" w:firstLineChars="200"/>
              <w:rPr>
                <w:rFonts w:hint="eastAsia" w:ascii="宋体" w:hAnsi="宋体"/>
                <w:bCs/>
                <w:szCs w:val="21"/>
                <w:highlight w:val="none"/>
              </w:rPr>
            </w:pPr>
            <w:r>
              <w:rPr>
                <w:rFonts w:hint="eastAsia" w:ascii="黑体" w:hAnsi="黑体" w:eastAsia="黑体" w:cs="宋体"/>
                <w:bCs/>
                <w:kern w:val="0"/>
                <w:szCs w:val="21"/>
                <w:highlight w:val="none"/>
              </w:rPr>
              <w:t>10.4</w:t>
            </w:r>
            <w:r>
              <w:rPr>
                <w:rFonts w:hint="eastAsia" w:ascii="黑体" w:hAnsi="黑体" w:eastAsia="黑体" w:cs="宋体"/>
                <w:bCs/>
                <w:szCs w:val="21"/>
                <w:highlight w:val="none"/>
              </w:rPr>
              <w:t>变更修改和澄清等信息：</w:t>
            </w:r>
            <w:bookmarkStart w:id="89" w:name="_Hlk170804702"/>
            <w:r>
              <w:rPr>
                <w:rFonts w:hint="eastAsia" w:ascii="宋体" w:hAnsi="宋体"/>
                <w:bCs/>
                <w:szCs w:val="21"/>
                <w:highlight w:val="none"/>
              </w:rPr>
              <w:t>本项目的变更、招标文件修改和澄清等信息将在吉林省公共资源交易一体化平台（https://www.ggzyyth.jl.cn/TPBidder）上发布，</w:t>
            </w:r>
            <w:r>
              <w:rPr>
                <w:rFonts w:hint="eastAsia" w:ascii="黑体" w:hAnsi="黑体" w:eastAsia="黑体"/>
                <w:bCs/>
                <w:szCs w:val="21"/>
                <w:highlight w:val="none"/>
              </w:rPr>
              <w:t>请潜在投标人在参与本项目活动期间随时关注网站信息，否则出现一切后果由投标人自负</w:t>
            </w:r>
            <w:r>
              <w:rPr>
                <w:rFonts w:hint="eastAsia" w:ascii="宋体" w:hAnsi="宋体"/>
                <w:bCs/>
                <w:szCs w:val="21"/>
                <w:highlight w:val="none"/>
              </w:rPr>
              <w:t>。</w:t>
            </w:r>
            <w:bookmarkEnd w:id="89"/>
          </w:p>
          <w:p w14:paraId="59B5E260">
            <w:pPr>
              <w:adjustRightInd w:val="0"/>
              <w:snapToGrid w:val="0"/>
              <w:spacing w:before="240" w:beforeLines="100" w:line="340" w:lineRule="exact"/>
              <w:ind w:firstLine="420" w:firstLineChars="200"/>
              <w:rPr>
                <w:rFonts w:hint="eastAsia" w:ascii="宋体" w:hAnsi="宋体"/>
                <w:bCs/>
                <w:szCs w:val="21"/>
                <w:highlight w:val="none"/>
              </w:rPr>
            </w:pPr>
            <w:r>
              <w:rPr>
                <w:rFonts w:hint="eastAsia" w:ascii="黑体" w:hAnsi="黑体" w:eastAsia="黑体"/>
                <w:bCs/>
                <w:szCs w:val="21"/>
                <w:highlight w:val="none"/>
              </w:rPr>
              <w:t>10.5</w:t>
            </w:r>
            <w:r>
              <w:rPr>
                <w:rFonts w:hint="eastAsia" w:ascii="黑体" w:hAnsi="黑体" w:eastAsia="黑体" w:cs="宋体"/>
                <w:bCs/>
                <w:szCs w:val="21"/>
                <w:highlight w:val="none"/>
              </w:rPr>
              <w:t>远程开标：</w:t>
            </w:r>
            <w:r>
              <w:rPr>
                <w:rFonts w:hint="eastAsia" w:ascii="宋体" w:hAnsi="宋体"/>
                <w:bCs/>
                <w:szCs w:val="21"/>
                <w:highlight w:val="none"/>
              </w:rPr>
              <w:t>本项目实施网上远程开标，投标人通过一体化平台系统进行远程投标文件解密。开标前，投标人应在准备解密的电脑端提前安装好CA驱动并且能正常登录系统。开标时在代理机构工作人员公布投标人名单后，按顺序进行解密，由投标人选择对应的项目，进入“开标远程解密”菜单，点击远程解密并输入CA 密码，成功解密后状态会显示“已解密”。</w:t>
            </w:r>
            <w:r>
              <w:rPr>
                <w:rFonts w:hint="eastAsia" w:ascii="黑体" w:hAnsi="黑体" w:eastAsia="黑体"/>
                <w:bCs/>
                <w:szCs w:val="21"/>
                <w:highlight w:val="none"/>
              </w:rPr>
              <w:t>投标文件解密时需插上生成投标文件的CA 锁进行解密，且正确输入密码，投标人未在规定的时间内完成解密的视为无效投标。投标人由于数字证书遗失、损坏、更换、续期等自身原因情况导致投标文件无法解密，由投标人自行承担责任</w:t>
            </w:r>
            <w:r>
              <w:rPr>
                <w:rFonts w:hint="eastAsia" w:ascii="宋体" w:hAnsi="宋体"/>
                <w:bCs/>
                <w:szCs w:val="21"/>
                <w:highlight w:val="none"/>
              </w:rPr>
              <w:t>。投标人未参加视频开标会议的，或未完全参加视频开标会议全过程的，视为认同开标会议结果。</w:t>
            </w:r>
          </w:p>
          <w:p w14:paraId="31BA5285">
            <w:pPr>
              <w:adjustRightInd w:val="0"/>
              <w:snapToGrid w:val="0"/>
              <w:spacing w:before="240" w:beforeLines="100" w:line="340" w:lineRule="exact"/>
              <w:ind w:firstLine="420" w:firstLineChars="200"/>
              <w:rPr>
                <w:rFonts w:hint="eastAsia" w:ascii="宋体" w:hAnsi="宋体"/>
                <w:bCs/>
                <w:szCs w:val="21"/>
                <w:highlight w:val="none"/>
              </w:rPr>
            </w:pPr>
            <w:r>
              <w:rPr>
                <w:rFonts w:hint="eastAsia" w:ascii="黑体" w:hAnsi="黑体" w:eastAsia="黑体"/>
                <w:bCs/>
                <w:szCs w:val="21"/>
                <w:highlight w:val="none"/>
              </w:rPr>
              <w:t>10.6</w:t>
            </w:r>
            <w:r>
              <w:rPr>
                <w:rFonts w:hint="eastAsia" w:ascii="黑体" w:hAnsi="黑体" w:eastAsia="黑体" w:cs="宋体"/>
                <w:bCs/>
                <w:szCs w:val="21"/>
                <w:highlight w:val="none"/>
              </w:rPr>
              <w:t>关键内容公开：</w:t>
            </w:r>
            <w:r>
              <w:rPr>
                <w:rFonts w:hint="eastAsia" w:ascii="宋体" w:hAnsi="宋体"/>
                <w:bCs/>
                <w:szCs w:val="21"/>
                <w:highlight w:val="none"/>
              </w:rPr>
              <w:t>本次招标文件的</w:t>
            </w:r>
            <w:bookmarkStart w:id="90" w:name="OLE_LINK9"/>
            <w:r>
              <w:rPr>
                <w:rFonts w:hint="eastAsia" w:ascii="宋体" w:hAnsi="宋体"/>
                <w:bCs/>
                <w:szCs w:val="21"/>
                <w:highlight w:val="none"/>
              </w:rPr>
              <w:t>关键内容</w:t>
            </w:r>
            <w:bookmarkEnd w:id="90"/>
            <w:r>
              <w:rPr>
                <w:rFonts w:hint="eastAsia" w:ascii="宋体" w:hAnsi="宋体"/>
                <w:bCs/>
                <w:szCs w:val="21"/>
                <w:highlight w:val="none"/>
              </w:rPr>
              <w:t>在吉林省交通运输厅网站上公开。</w:t>
            </w:r>
          </w:p>
          <w:p w14:paraId="53FC8365">
            <w:pPr>
              <w:adjustRightInd w:val="0"/>
              <w:snapToGrid w:val="0"/>
              <w:spacing w:before="240" w:beforeLines="100" w:line="340" w:lineRule="exact"/>
              <w:ind w:firstLine="420" w:firstLineChars="200"/>
              <w:rPr>
                <w:rFonts w:hint="eastAsia" w:ascii="宋体" w:hAnsi="宋体" w:cs="宋体"/>
                <w:bCs/>
                <w:kern w:val="0"/>
                <w:szCs w:val="21"/>
                <w:highlight w:val="none"/>
                <w:lang w:val="zh-CN"/>
              </w:rPr>
            </w:pPr>
            <w:r>
              <w:rPr>
                <w:rFonts w:hint="eastAsia" w:ascii="黑体" w:hAnsi="黑体" w:eastAsia="黑体"/>
                <w:bCs/>
                <w:szCs w:val="21"/>
                <w:highlight w:val="none"/>
              </w:rPr>
              <w:t>10.7</w:t>
            </w:r>
            <w:r>
              <w:rPr>
                <w:rFonts w:hint="eastAsia" w:ascii="黑体" w:hAnsi="黑体" w:eastAsia="黑体" w:cs="宋体"/>
                <w:bCs/>
                <w:szCs w:val="21"/>
                <w:highlight w:val="none"/>
              </w:rPr>
              <w:t>词语定义：</w:t>
            </w:r>
            <w:r>
              <w:rPr>
                <w:rFonts w:hint="eastAsia" w:ascii="宋体" w:hAnsi="宋体" w:cs="宋体"/>
                <w:bCs/>
                <w:color w:val="363D45"/>
                <w:szCs w:val="21"/>
                <w:highlight w:val="none"/>
              </w:rPr>
              <w:fldChar w:fldCharType="begin"/>
            </w:r>
            <w:r>
              <w:rPr>
                <w:rFonts w:hint="eastAsia" w:ascii="宋体" w:hAnsi="宋体" w:cs="宋体"/>
                <w:bCs/>
                <w:color w:val="363D45"/>
                <w:szCs w:val="21"/>
                <w:highlight w:val="none"/>
              </w:rPr>
              <w:instrText xml:space="preserve"> = 1 \* GB3 </w:instrText>
            </w:r>
            <w:r>
              <w:rPr>
                <w:rFonts w:hint="eastAsia" w:ascii="宋体" w:hAnsi="宋体" w:cs="宋体"/>
                <w:bCs/>
                <w:color w:val="363D45"/>
                <w:szCs w:val="21"/>
                <w:highlight w:val="none"/>
              </w:rPr>
              <w:fldChar w:fldCharType="separate"/>
            </w:r>
            <w:r>
              <w:rPr>
                <w:rFonts w:hint="eastAsia" w:ascii="宋体" w:hAnsi="宋体" w:cs="宋体"/>
                <w:bCs/>
                <w:color w:val="363D45"/>
                <w:szCs w:val="21"/>
                <w:highlight w:val="none"/>
              </w:rPr>
              <w:t>①</w:t>
            </w:r>
            <w:r>
              <w:rPr>
                <w:rFonts w:hint="eastAsia" w:ascii="宋体" w:hAnsi="宋体" w:cs="宋体"/>
                <w:bCs/>
                <w:color w:val="363D45"/>
                <w:szCs w:val="21"/>
                <w:highlight w:val="none"/>
              </w:rPr>
              <w:fldChar w:fldCharType="end"/>
            </w:r>
            <w:r>
              <w:rPr>
                <w:rFonts w:hint="eastAsia" w:ascii="宋体" w:hAnsi="宋体"/>
                <w:bCs/>
                <w:szCs w:val="21"/>
                <w:highlight w:val="none"/>
              </w:rPr>
              <w:t>本文件中</w:t>
            </w:r>
            <w:r>
              <w:rPr>
                <w:rFonts w:hint="eastAsia" w:ascii="宋体" w:hAnsi="宋体" w:cs="宋体"/>
                <w:bCs/>
                <w:kern w:val="0"/>
                <w:szCs w:val="21"/>
                <w:highlight w:val="none"/>
                <w:lang w:val="zh-CN"/>
              </w:rPr>
              <w:t>所称的</w:t>
            </w:r>
            <w:r>
              <w:rPr>
                <w:rFonts w:hint="eastAsia" w:ascii="宋体" w:hAnsi="宋体"/>
                <w:bCs/>
                <w:szCs w:val="21"/>
                <w:highlight w:val="none"/>
              </w:rPr>
              <w:t>“以上”、“以下”、“以内”</w:t>
            </w:r>
            <w:r>
              <w:rPr>
                <w:rFonts w:hint="eastAsia" w:ascii="宋体" w:hAnsi="宋体" w:cs="宋体"/>
                <w:bCs/>
                <w:kern w:val="0"/>
                <w:szCs w:val="21"/>
                <w:highlight w:val="none"/>
                <w:lang w:val="zh-CN"/>
              </w:rPr>
              <w:t>，包括本数；所称的</w:t>
            </w:r>
            <w:r>
              <w:rPr>
                <w:rFonts w:hint="eastAsia" w:ascii="宋体" w:hAnsi="宋体"/>
                <w:bCs/>
                <w:szCs w:val="21"/>
                <w:highlight w:val="none"/>
              </w:rPr>
              <w:t>“以外”</w:t>
            </w:r>
            <w:r>
              <w:rPr>
                <w:rFonts w:hint="eastAsia" w:ascii="宋体" w:hAnsi="宋体" w:cs="宋体"/>
                <w:bCs/>
                <w:kern w:val="0"/>
                <w:szCs w:val="21"/>
                <w:highlight w:val="none"/>
                <w:lang w:val="zh-CN"/>
              </w:rPr>
              <w:t>，不包括本数。</w:t>
            </w:r>
            <w:r>
              <w:rPr>
                <w:rFonts w:hint="eastAsia" w:ascii="宋体" w:hAnsi="宋体" w:cs="宋体"/>
                <w:bCs/>
                <w:color w:val="363D45"/>
                <w:szCs w:val="21"/>
                <w:highlight w:val="none"/>
              </w:rPr>
              <w:fldChar w:fldCharType="begin"/>
            </w:r>
            <w:r>
              <w:rPr>
                <w:rFonts w:hint="eastAsia" w:ascii="宋体" w:hAnsi="宋体" w:cs="宋体"/>
                <w:bCs/>
                <w:color w:val="363D45"/>
                <w:szCs w:val="21"/>
                <w:highlight w:val="none"/>
              </w:rPr>
              <w:instrText xml:space="preserve"> = 2 \* GB3 </w:instrText>
            </w:r>
            <w:r>
              <w:rPr>
                <w:rFonts w:hint="eastAsia" w:ascii="宋体" w:hAnsi="宋体" w:cs="宋体"/>
                <w:bCs/>
                <w:color w:val="363D45"/>
                <w:szCs w:val="21"/>
                <w:highlight w:val="none"/>
              </w:rPr>
              <w:fldChar w:fldCharType="separate"/>
            </w:r>
            <w:r>
              <w:rPr>
                <w:rFonts w:hint="eastAsia" w:ascii="宋体" w:hAnsi="宋体" w:cs="宋体"/>
                <w:bCs/>
                <w:color w:val="363D45"/>
                <w:szCs w:val="21"/>
                <w:highlight w:val="none"/>
              </w:rPr>
              <w:t>②</w:t>
            </w:r>
            <w:r>
              <w:rPr>
                <w:rFonts w:hint="eastAsia" w:ascii="宋体" w:hAnsi="宋体" w:cs="宋体"/>
                <w:bCs/>
                <w:color w:val="363D45"/>
                <w:szCs w:val="21"/>
                <w:highlight w:val="none"/>
              </w:rPr>
              <w:fldChar w:fldCharType="end"/>
            </w:r>
            <w:r>
              <w:rPr>
                <w:rFonts w:hint="eastAsia" w:ascii="宋体" w:hAnsi="宋体"/>
                <w:bCs/>
                <w:szCs w:val="21"/>
                <w:highlight w:val="none"/>
              </w:rPr>
              <w:t>除有特殊说明外，本文件中</w:t>
            </w:r>
            <w:r>
              <w:rPr>
                <w:rFonts w:hint="eastAsia" w:ascii="宋体" w:hAnsi="宋体" w:cs="宋体"/>
                <w:bCs/>
                <w:kern w:val="0"/>
                <w:szCs w:val="21"/>
                <w:highlight w:val="none"/>
                <w:lang w:val="zh-CN"/>
              </w:rPr>
              <w:t>所称的“近3年”或“近5年”等，是指自投标截止时间所在年度起逆推3年或5年。如：投标截止时间所在年度为202</w:t>
            </w:r>
            <w:r>
              <w:rPr>
                <w:rFonts w:hint="eastAsia" w:ascii="宋体" w:hAnsi="宋体" w:cs="宋体"/>
                <w:bCs/>
                <w:kern w:val="0"/>
                <w:szCs w:val="21"/>
                <w:highlight w:val="none"/>
              </w:rPr>
              <w:t>6</w:t>
            </w:r>
            <w:r>
              <w:rPr>
                <w:rFonts w:hint="eastAsia" w:ascii="宋体" w:hAnsi="宋体" w:cs="宋体"/>
                <w:bCs/>
                <w:kern w:val="0"/>
                <w:szCs w:val="21"/>
                <w:highlight w:val="none"/>
                <w:lang w:val="zh-CN"/>
              </w:rPr>
              <w:t>年，“近</w:t>
            </w:r>
            <w:r>
              <w:rPr>
                <w:rFonts w:ascii="宋体" w:hAnsi="宋体" w:cs="宋体"/>
                <w:bCs/>
                <w:kern w:val="0"/>
                <w:szCs w:val="21"/>
                <w:highlight w:val="none"/>
              </w:rPr>
              <w:t>3</w:t>
            </w:r>
            <w:r>
              <w:rPr>
                <w:rFonts w:hint="eastAsia" w:ascii="宋体" w:hAnsi="宋体" w:cs="宋体"/>
                <w:bCs/>
                <w:kern w:val="0"/>
                <w:szCs w:val="21"/>
                <w:highlight w:val="none"/>
                <w:lang w:val="zh-CN"/>
              </w:rPr>
              <w:t>年”的年限从202</w:t>
            </w:r>
            <w:r>
              <w:rPr>
                <w:rFonts w:hint="eastAsia" w:ascii="宋体" w:hAnsi="宋体" w:cs="宋体"/>
                <w:bCs/>
                <w:kern w:val="0"/>
                <w:szCs w:val="21"/>
                <w:highlight w:val="none"/>
              </w:rPr>
              <w:t>3</w:t>
            </w:r>
            <w:r>
              <w:rPr>
                <w:rFonts w:hint="eastAsia" w:ascii="宋体" w:hAnsi="宋体" w:cs="宋体"/>
                <w:bCs/>
                <w:kern w:val="0"/>
                <w:szCs w:val="21"/>
                <w:highlight w:val="none"/>
                <w:lang w:val="zh-CN"/>
              </w:rPr>
              <w:t>年1月1日算起</w:t>
            </w:r>
            <w:r>
              <w:rPr>
                <w:rFonts w:ascii="宋体" w:hAnsi="宋体" w:cs="宋体"/>
                <w:bCs/>
                <w:kern w:val="0"/>
                <w:szCs w:val="21"/>
                <w:highlight w:val="none"/>
              </w:rPr>
              <w:t>,</w:t>
            </w:r>
            <w:r>
              <w:rPr>
                <w:rFonts w:hint="eastAsia" w:ascii="宋体" w:hAnsi="宋体" w:cs="宋体"/>
                <w:bCs/>
                <w:kern w:val="0"/>
                <w:szCs w:val="21"/>
                <w:highlight w:val="none"/>
                <w:lang w:val="zh-CN"/>
              </w:rPr>
              <w:t>“近</w:t>
            </w:r>
            <w:r>
              <w:rPr>
                <w:rFonts w:ascii="宋体" w:hAnsi="宋体" w:cs="宋体"/>
                <w:bCs/>
                <w:kern w:val="0"/>
                <w:szCs w:val="21"/>
                <w:highlight w:val="none"/>
              </w:rPr>
              <w:t>5</w:t>
            </w:r>
            <w:r>
              <w:rPr>
                <w:rFonts w:hint="eastAsia" w:ascii="宋体" w:hAnsi="宋体" w:cs="宋体"/>
                <w:bCs/>
                <w:kern w:val="0"/>
                <w:szCs w:val="21"/>
                <w:highlight w:val="none"/>
                <w:lang w:val="zh-CN"/>
              </w:rPr>
              <w:t>年”的年限从2021年1月1日算起。</w:t>
            </w:r>
            <w:r>
              <w:rPr>
                <w:rFonts w:hint="eastAsia" w:ascii="宋体" w:hAnsi="宋体" w:cs="宋体"/>
                <w:bCs/>
                <w:color w:val="363D45"/>
                <w:szCs w:val="21"/>
                <w:highlight w:val="none"/>
              </w:rPr>
              <w:fldChar w:fldCharType="begin"/>
            </w:r>
            <w:r>
              <w:rPr>
                <w:rFonts w:hint="eastAsia" w:ascii="宋体" w:hAnsi="宋体" w:cs="宋体"/>
                <w:bCs/>
                <w:color w:val="363D45"/>
                <w:szCs w:val="21"/>
                <w:highlight w:val="none"/>
              </w:rPr>
              <w:instrText xml:space="preserve"> = 3 \* GB3 </w:instrText>
            </w:r>
            <w:r>
              <w:rPr>
                <w:rFonts w:hint="eastAsia" w:ascii="宋体" w:hAnsi="宋体" w:cs="宋体"/>
                <w:bCs/>
                <w:color w:val="363D45"/>
                <w:szCs w:val="21"/>
                <w:highlight w:val="none"/>
              </w:rPr>
              <w:fldChar w:fldCharType="separate"/>
            </w:r>
            <w:r>
              <w:rPr>
                <w:rFonts w:hint="eastAsia" w:ascii="宋体" w:hAnsi="宋体" w:cs="宋体"/>
                <w:bCs/>
                <w:color w:val="363D45"/>
                <w:szCs w:val="21"/>
                <w:highlight w:val="none"/>
              </w:rPr>
              <w:t>③</w:t>
            </w:r>
            <w:r>
              <w:rPr>
                <w:rFonts w:hint="eastAsia" w:ascii="宋体" w:hAnsi="宋体" w:cs="宋体"/>
                <w:bCs/>
                <w:color w:val="363D45"/>
                <w:szCs w:val="21"/>
                <w:highlight w:val="none"/>
              </w:rPr>
              <w:fldChar w:fldCharType="end"/>
            </w:r>
            <w:r>
              <w:rPr>
                <w:rFonts w:hint="eastAsia" w:ascii="宋体" w:hAnsi="宋体" w:cs="宋体"/>
                <w:bCs/>
                <w:kern w:val="0"/>
                <w:szCs w:val="21"/>
                <w:highlight w:val="none"/>
                <w:lang w:val="zh-CN"/>
              </w:rPr>
              <w:t xml:space="preserve"> “电子交易平台”指“吉林省公共资源交易一体化平台”。</w:t>
            </w:r>
          </w:p>
          <w:p w14:paraId="194993AF">
            <w:pPr>
              <w:adjustRightInd w:val="0"/>
              <w:snapToGrid w:val="0"/>
              <w:spacing w:before="240" w:beforeLines="100" w:line="340" w:lineRule="exact"/>
              <w:ind w:firstLine="420" w:firstLineChars="200"/>
              <w:rPr>
                <w:rFonts w:hint="eastAsia" w:ascii="宋体" w:hAnsi="宋体"/>
                <w:bCs/>
                <w:color w:val="000000"/>
                <w:szCs w:val="21"/>
                <w:highlight w:val="none"/>
              </w:rPr>
            </w:pPr>
            <w:r>
              <w:rPr>
                <w:rFonts w:hint="eastAsia" w:ascii="黑体" w:hAnsi="黑体" w:eastAsia="黑体" w:cs="宋体"/>
                <w:bCs/>
                <w:kern w:val="0"/>
                <w:szCs w:val="21"/>
                <w:highlight w:val="none"/>
                <w:lang w:val="zh-CN"/>
              </w:rPr>
              <w:t>10.8</w:t>
            </w:r>
            <w:r>
              <w:rPr>
                <w:rFonts w:hint="eastAsia" w:ascii="黑体" w:hAnsi="黑体" w:eastAsia="黑体" w:cs="宋体"/>
                <w:bCs/>
                <w:szCs w:val="21"/>
                <w:highlight w:val="none"/>
              </w:rPr>
              <w:t>中标人提供纸质投标文件：</w:t>
            </w:r>
            <w:r>
              <w:rPr>
                <w:rFonts w:hint="eastAsia" w:ascii="宋体" w:hAnsi="宋体"/>
                <w:bCs/>
                <w:color w:val="000000"/>
                <w:szCs w:val="21"/>
                <w:highlight w:val="none"/>
              </w:rPr>
              <w:t>如投标人中标，须再提供纸质投标文件正本一份，副本一份；中标人提供的纸质投标文件需与投标时提供的电子投标文件保持一致，如有不一致，以电子投标文件为准。</w:t>
            </w:r>
          </w:p>
          <w:p w14:paraId="4F8FFDA9">
            <w:pPr>
              <w:adjustRightInd w:val="0"/>
              <w:snapToGrid w:val="0"/>
              <w:spacing w:line="340" w:lineRule="exact"/>
              <w:ind w:firstLine="210" w:firstLineChars="100"/>
              <w:rPr>
                <w:rFonts w:hint="eastAsia" w:ascii="宋体" w:hAnsi="宋体"/>
                <w:bCs/>
                <w:color w:val="000000"/>
                <w:szCs w:val="21"/>
                <w:highlight w:val="none"/>
              </w:rPr>
            </w:pPr>
            <w:r>
              <w:rPr>
                <w:rFonts w:hint="eastAsia" w:ascii="宋体" w:hAnsi="宋体"/>
                <w:bCs/>
                <w:color w:val="000000"/>
                <w:szCs w:val="21"/>
                <w:highlight w:val="none"/>
              </w:rPr>
              <w:t>中标人递交的纸质投标文件应是电子投标文件的打印件，正本应按招标文件要求加盖投标人单位公章，纸质投标文件应标注页码，且不得采用活页夹装订。</w:t>
            </w:r>
          </w:p>
          <w:p w14:paraId="4DC46BDC">
            <w:pPr>
              <w:adjustRightInd w:val="0"/>
              <w:snapToGrid w:val="0"/>
              <w:spacing w:before="240" w:beforeLines="100" w:line="340" w:lineRule="exact"/>
              <w:ind w:firstLine="420" w:firstLineChars="200"/>
              <w:rPr>
                <w:rFonts w:hint="eastAsia" w:ascii="宋体" w:hAnsi="宋体"/>
                <w:bCs/>
                <w:color w:val="000000"/>
                <w:szCs w:val="21"/>
                <w:highlight w:val="none"/>
              </w:rPr>
            </w:pPr>
            <w:r>
              <w:rPr>
                <w:rFonts w:hint="eastAsia" w:ascii="黑体" w:hAnsi="黑体" w:eastAsia="黑体" w:cs="宋体"/>
                <w:bCs/>
                <w:kern w:val="0"/>
                <w:szCs w:val="21"/>
                <w:highlight w:val="none"/>
              </w:rPr>
              <w:t>10.9</w:t>
            </w:r>
            <w:r>
              <w:rPr>
                <w:rFonts w:hint="eastAsia" w:ascii="黑体" w:hAnsi="黑体" w:eastAsia="黑体" w:cs="宋体"/>
                <w:bCs/>
                <w:szCs w:val="21"/>
                <w:highlight w:val="none"/>
              </w:rPr>
              <w:t>驻地建设标准化</w:t>
            </w:r>
            <w:r>
              <w:rPr>
                <w:rFonts w:hint="eastAsia" w:ascii="宋体" w:hAnsi="宋体" w:cs="宋体"/>
                <w:bCs/>
                <w:szCs w:val="21"/>
                <w:highlight w:val="none"/>
              </w:rPr>
              <w:t>：</w:t>
            </w:r>
            <w:r>
              <w:rPr>
                <w:rFonts w:hint="eastAsia" w:ascii="宋体" w:hAnsi="宋体"/>
                <w:bCs/>
                <w:color w:val="000000"/>
                <w:szCs w:val="21"/>
                <w:highlight w:val="none"/>
              </w:rPr>
              <w:t>执行《吉林省普通干线公路重点养护工程驻地建设标准化指南》。</w:t>
            </w:r>
          </w:p>
          <w:p w14:paraId="036AC54C">
            <w:pPr>
              <w:autoSpaceDE w:val="0"/>
              <w:autoSpaceDN w:val="0"/>
              <w:adjustRightInd w:val="0"/>
              <w:snapToGrid w:val="0"/>
              <w:spacing w:before="240" w:beforeLines="100" w:line="340" w:lineRule="exact"/>
              <w:ind w:firstLine="420" w:firstLineChars="200"/>
              <w:jc w:val="left"/>
              <w:rPr>
                <w:rFonts w:hint="eastAsia" w:ascii="宋体" w:hAnsi="宋体"/>
                <w:bCs/>
                <w:szCs w:val="21"/>
                <w:highlight w:val="none"/>
              </w:rPr>
            </w:pPr>
            <w:r>
              <w:rPr>
                <w:rFonts w:hint="eastAsia" w:ascii="黑体" w:hAnsi="黑体" w:eastAsia="黑体"/>
                <w:bCs/>
                <w:color w:val="000000"/>
                <w:szCs w:val="21"/>
                <w:highlight w:val="none"/>
              </w:rPr>
              <w:t xml:space="preserve">10.10 </w:t>
            </w:r>
            <w:r>
              <w:rPr>
                <w:rFonts w:hint="eastAsia" w:ascii="黑体" w:hAnsi="黑体" w:eastAsia="黑体"/>
                <w:bCs/>
                <w:szCs w:val="21"/>
                <w:highlight w:val="none"/>
              </w:rPr>
              <w:t>招标代理服务费</w:t>
            </w:r>
            <w:r>
              <w:rPr>
                <w:rFonts w:hint="eastAsia" w:ascii="宋体" w:hAnsi="宋体"/>
                <w:bCs/>
                <w:szCs w:val="21"/>
                <w:highlight w:val="none"/>
              </w:rPr>
              <w:t>：参考原国家计委 《招标代理服务收费管理暂行办法》（计价格〔2002〕1980号）、《国家发展改革委办公厅关于招标代理服务收费有关问题的通知》（发改办价格〔2003〕857号）、《国家发展改革委关于降低部分建设项目收费标准规范收费行为等有关问题的通知》（发改价格〔2011〕534号）规定的招标代理服务收费差额费率计算本标段的招标代理服务费，</w:t>
            </w:r>
            <w:r>
              <w:rPr>
                <w:rFonts w:hint="eastAsia" w:ascii="宋体" w:hAnsi="宋体"/>
                <w:bCs/>
                <w:szCs w:val="21"/>
                <w:highlight w:val="none"/>
                <w:lang w:bidi="ar"/>
              </w:rPr>
              <w:t>中标金额1000万元以上的按照该费率的60%计算。</w:t>
            </w:r>
          </w:p>
          <w:p w14:paraId="321F9714">
            <w:pPr>
              <w:keepLines/>
              <w:adjustRightInd w:val="0"/>
              <w:snapToGrid w:val="0"/>
              <w:spacing w:line="340" w:lineRule="exact"/>
              <w:ind w:firstLine="420" w:firstLineChars="200"/>
              <w:rPr>
                <w:rFonts w:hint="eastAsia" w:ascii="宋体" w:hAnsi="宋体"/>
                <w:bCs/>
                <w:szCs w:val="21"/>
                <w:highlight w:val="none"/>
              </w:rPr>
            </w:pPr>
            <w:r>
              <w:rPr>
                <w:rFonts w:hint="eastAsia" w:ascii="宋体" w:hAnsi="宋体"/>
                <w:bCs/>
                <w:szCs w:val="21"/>
                <w:highlight w:val="none"/>
              </w:rPr>
              <w:t>在签订合同前，中标人应将招标代理服务费以电汇形式递交至招标代理机构提供的以下账户：</w:t>
            </w:r>
          </w:p>
          <w:p w14:paraId="00F3A306">
            <w:pPr>
              <w:spacing w:line="340" w:lineRule="exact"/>
              <w:ind w:firstLine="420" w:firstLineChars="200"/>
              <w:rPr>
                <w:rFonts w:hint="eastAsia" w:ascii="宋体" w:hAnsi="宋体"/>
                <w:bCs/>
                <w:szCs w:val="21"/>
                <w:highlight w:val="none"/>
              </w:rPr>
            </w:pPr>
            <w:r>
              <w:rPr>
                <w:rFonts w:hint="eastAsia" w:ascii="宋体" w:hAnsi="宋体"/>
                <w:bCs/>
                <w:szCs w:val="21"/>
                <w:highlight w:val="none"/>
              </w:rPr>
              <w:t xml:space="preserve">开户名称：吉林省伟邦公路技术有限公司 </w:t>
            </w:r>
          </w:p>
          <w:p w14:paraId="1DC1DEF8">
            <w:pPr>
              <w:spacing w:line="340" w:lineRule="exact"/>
              <w:ind w:firstLine="420" w:firstLineChars="200"/>
              <w:rPr>
                <w:rFonts w:hint="eastAsia" w:ascii="宋体" w:hAnsi="宋体"/>
                <w:bCs/>
                <w:szCs w:val="21"/>
                <w:highlight w:val="none"/>
              </w:rPr>
            </w:pPr>
            <w:r>
              <w:rPr>
                <w:rFonts w:hint="eastAsia" w:ascii="宋体" w:hAnsi="宋体"/>
                <w:bCs/>
                <w:szCs w:val="21"/>
                <w:highlight w:val="none"/>
              </w:rPr>
              <w:t xml:space="preserve">开户银行：建设银行九台支行 </w:t>
            </w:r>
          </w:p>
          <w:p w14:paraId="31939601">
            <w:pPr>
              <w:adjustRightInd w:val="0"/>
              <w:snapToGrid w:val="0"/>
              <w:spacing w:line="340" w:lineRule="exact"/>
              <w:ind w:firstLine="420" w:firstLineChars="200"/>
              <w:rPr>
                <w:rFonts w:hint="eastAsia" w:ascii="宋体" w:hAnsi="宋体"/>
                <w:bCs/>
                <w:szCs w:val="21"/>
                <w:highlight w:val="none"/>
              </w:rPr>
            </w:pPr>
            <w:r>
              <w:rPr>
                <w:rFonts w:hint="eastAsia" w:ascii="宋体" w:hAnsi="宋体"/>
                <w:bCs/>
                <w:szCs w:val="21"/>
                <w:highlight w:val="none"/>
              </w:rPr>
              <w:t>银行账号：22001390100055001391</w:t>
            </w:r>
          </w:p>
          <w:p w14:paraId="24FCAE27">
            <w:pPr>
              <w:adjustRightInd w:val="0"/>
              <w:snapToGrid w:val="0"/>
              <w:spacing w:before="240" w:beforeLines="100" w:line="340" w:lineRule="exact"/>
              <w:ind w:firstLine="420" w:firstLineChars="200"/>
              <w:rPr>
                <w:rFonts w:hint="eastAsia" w:ascii="宋体" w:hAnsi="宋体" w:cs="宋体"/>
                <w:bCs/>
                <w:kern w:val="0"/>
                <w:szCs w:val="21"/>
                <w:highlight w:val="none"/>
              </w:rPr>
            </w:pPr>
            <w:r>
              <w:rPr>
                <w:rFonts w:hint="eastAsia" w:ascii="宋体" w:hAnsi="宋体"/>
                <w:bCs/>
                <w:color w:val="000000"/>
                <w:szCs w:val="21"/>
                <w:highlight w:val="none"/>
              </w:rPr>
              <w:t>10.11本文件中的“全国公路建设市场信用信息管理系统”均应为“全国公路建设市场监督管理系统”。</w:t>
            </w:r>
          </w:p>
        </w:tc>
      </w:tr>
      <w:bookmarkEnd w:id="77"/>
      <w:bookmarkEnd w:id="83"/>
    </w:tbl>
    <w:p w14:paraId="3F82E9D2">
      <w:pPr>
        <w:widowControl/>
        <w:adjustRightInd w:val="0"/>
        <w:jc w:val="left"/>
        <w:rPr>
          <w:rFonts w:ascii="Times New Roman" w:hAnsi="Times New Roman"/>
          <w:bCs/>
          <w:highlight w:val="none"/>
        </w:rPr>
      </w:pPr>
      <w:bookmarkStart w:id="91" w:name="_Toc436994103"/>
      <w:bookmarkStart w:id="92" w:name="_Toc197951589"/>
      <w:bookmarkStart w:id="93" w:name="_Toc197965598"/>
      <w:bookmarkStart w:id="94" w:name="_Toc197960546"/>
      <w:bookmarkStart w:id="95" w:name="_Toc197950683"/>
      <w:bookmarkStart w:id="96" w:name="_Toc197967119"/>
      <w:bookmarkStart w:id="97" w:name="_Toc197967267"/>
      <w:bookmarkStart w:id="98" w:name="_Toc197960494"/>
      <w:bookmarkStart w:id="99" w:name="_Toc197950804"/>
      <w:r>
        <w:rPr>
          <w:rFonts w:ascii="Times New Roman" w:hAnsi="Times New Roman"/>
          <w:bCs/>
          <w:highlight w:val="none"/>
        </w:rPr>
        <w:br w:type="page"/>
      </w:r>
    </w:p>
    <w:p w14:paraId="521A1BC3">
      <w:pPr>
        <w:pStyle w:val="5"/>
        <w:adjustRightInd w:val="0"/>
        <w:snapToGrid w:val="0"/>
        <w:spacing w:beforeLines="50" w:after="0"/>
        <w:ind w:firstLine="280" w:firstLineChars="100"/>
        <w:jc w:val="center"/>
        <w:rPr>
          <w:rFonts w:hint="eastAsia" w:ascii="黑体" w:hAnsi="黑体"/>
          <w:highlight w:val="none"/>
        </w:rPr>
      </w:pPr>
      <w:bookmarkStart w:id="100" w:name="OLE_LINK8"/>
      <w:bookmarkStart w:id="101" w:name="_Hlk189925200"/>
      <w:bookmarkStart w:id="102" w:name="_Hlk190088341"/>
      <w:bookmarkStart w:id="103" w:name="_Hlk189900789"/>
      <w:r>
        <w:rPr>
          <w:rFonts w:hint="eastAsia" w:ascii="黑体" w:hAnsi="黑体"/>
          <w:sz w:val="28"/>
          <w:highlight w:val="none"/>
          <w:lang w:val="zh-CN"/>
        </w:rPr>
        <w:t>附录1资格审查条件（资质最低要求）</w:t>
      </w:r>
    </w:p>
    <w:tbl>
      <w:tblPr>
        <w:tblStyle w:val="5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14:paraId="18EB94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vAlign w:val="center"/>
          </w:tcPr>
          <w:p w14:paraId="4EA7DD8F">
            <w:pPr>
              <w:snapToGrid w:val="0"/>
              <w:spacing w:line="360" w:lineRule="exact"/>
              <w:jc w:val="center"/>
              <w:rPr>
                <w:rFonts w:hint="eastAsia" w:ascii="宋体" w:hAnsi="宋体"/>
                <w:bCs/>
                <w:szCs w:val="21"/>
                <w:highlight w:val="none"/>
              </w:rPr>
            </w:pPr>
            <w:r>
              <w:rPr>
                <w:rFonts w:hint="eastAsia" w:ascii="宋体" w:hAnsi="宋体"/>
                <w:bCs/>
                <w:szCs w:val="21"/>
                <w:highlight w:val="none"/>
              </w:rPr>
              <w:t>施工企业资质等级要求</w:t>
            </w:r>
          </w:p>
        </w:tc>
      </w:tr>
      <w:tr w14:paraId="406313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349" w:hRule="atLeast"/>
          <w:jc w:val="center"/>
        </w:trPr>
        <w:tc>
          <w:tcPr>
            <w:tcW w:w="5000" w:type="pct"/>
            <w:vAlign w:val="center"/>
          </w:tcPr>
          <w:p w14:paraId="1DEE0746">
            <w:pPr>
              <w:spacing w:after="120" w:afterLines="50" w:line="360" w:lineRule="exact"/>
              <w:ind w:firstLine="420" w:firstLineChars="200"/>
              <w:rPr>
                <w:rFonts w:hint="eastAsia" w:ascii="宋体" w:hAnsi="宋体"/>
                <w:bCs/>
                <w:szCs w:val="21"/>
                <w:highlight w:val="none"/>
              </w:rPr>
            </w:pPr>
            <w:r>
              <w:rPr>
                <w:rFonts w:hint="eastAsia" w:ascii="宋体" w:hAnsi="宋体"/>
                <w:bCs/>
                <w:highlight w:val="none"/>
              </w:rPr>
              <w:t>投标人</w:t>
            </w:r>
            <w:r>
              <w:rPr>
                <w:rFonts w:hint="eastAsia" w:ascii="宋体" w:hAnsi="宋体"/>
                <w:bCs/>
                <w:szCs w:val="21"/>
                <w:highlight w:val="none"/>
              </w:rPr>
              <w:t>须同时具备以下资质：</w:t>
            </w:r>
          </w:p>
          <w:tbl>
            <w:tblPr>
              <w:tblStyle w:val="57"/>
              <w:tblW w:w="478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1163"/>
              <w:gridCol w:w="8054"/>
            </w:tblGrid>
            <w:tr w14:paraId="0CEF0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97" w:hRule="atLeast"/>
                <w:jc w:val="center"/>
              </w:trPr>
              <w:tc>
                <w:tcPr>
                  <w:tcW w:w="631" w:type="pct"/>
                  <w:vAlign w:val="center"/>
                </w:tcPr>
                <w:p w14:paraId="4F99C665">
                  <w:pPr>
                    <w:adjustRightInd w:val="0"/>
                    <w:snapToGrid w:val="0"/>
                    <w:spacing w:line="340" w:lineRule="exact"/>
                    <w:jc w:val="center"/>
                    <w:rPr>
                      <w:rFonts w:hint="eastAsia" w:ascii="宋体" w:hAnsi="宋体"/>
                      <w:bCs/>
                      <w:szCs w:val="21"/>
                      <w:highlight w:val="none"/>
                    </w:rPr>
                  </w:pPr>
                  <w:r>
                    <w:rPr>
                      <w:rFonts w:hint="eastAsia" w:ascii="宋体" w:hAnsi="宋体"/>
                      <w:bCs/>
                      <w:szCs w:val="21"/>
                      <w:highlight w:val="none"/>
                    </w:rPr>
                    <w:t>施工标段</w:t>
                  </w:r>
                </w:p>
              </w:tc>
              <w:tc>
                <w:tcPr>
                  <w:tcW w:w="4369" w:type="pct"/>
                  <w:tcBorders>
                    <w:top w:val="single" w:color="auto" w:sz="4" w:space="0"/>
                    <w:left w:val="single" w:color="auto" w:sz="4" w:space="0"/>
                    <w:bottom w:val="single" w:color="auto" w:sz="4" w:space="0"/>
                    <w:right w:val="single" w:color="auto" w:sz="4" w:space="0"/>
                  </w:tcBorders>
                  <w:vAlign w:val="center"/>
                </w:tcPr>
                <w:p w14:paraId="5DDD46B9">
                  <w:pPr>
                    <w:adjustRightInd w:val="0"/>
                    <w:snapToGrid w:val="0"/>
                    <w:spacing w:line="340" w:lineRule="exact"/>
                    <w:jc w:val="center"/>
                    <w:rPr>
                      <w:rFonts w:hint="eastAsia" w:ascii="宋体" w:hAnsi="宋体"/>
                      <w:bCs/>
                      <w:szCs w:val="21"/>
                      <w:highlight w:val="none"/>
                    </w:rPr>
                  </w:pPr>
                  <w:r>
                    <w:rPr>
                      <w:rFonts w:hint="eastAsia" w:ascii="宋体" w:hAnsi="宋体"/>
                      <w:bCs/>
                      <w:szCs w:val="21"/>
                      <w:highlight w:val="none"/>
                    </w:rPr>
                    <w:t>资质要求</w:t>
                  </w:r>
                </w:p>
              </w:tc>
            </w:tr>
            <w:tr w14:paraId="18ECA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31" w:type="pct"/>
                  <w:vAlign w:val="center"/>
                </w:tcPr>
                <w:p w14:paraId="4866D6C3">
                  <w:pPr>
                    <w:adjustRightInd w:val="0"/>
                    <w:snapToGrid w:val="0"/>
                    <w:spacing w:line="340" w:lineRule="exact"/>
                    <w:jc w:val="center"/>
                    <w:rPr>
                      <w:rFonts w:hint="eastAsia" w:ascii="宋体" w:hAnsi="宋体"/>
                      <w:bCs/>
                      <w:szCs w:val="21"/>
                      <w:highlight w:val="none"/>
                    </w:rPr>
                  </w:pPr>
                  <w:r>
                    <w:rPr>
                      <w:rFonts w:hint="eastAsia" w:ascii="黑体" w:hAnsi="黑体" w:eastAsia="黑体"/>
                      <w:bCs/>
                      <w:szCs w:val="21"/>
                      <w:highlight w:val="none"/>
                    </w:rPr>
                    <w:t>YB26YH03</w:t>
                  </w:r>
                </w:p>
              </w:tc>
              <w:tc>
                <w:tcPr>
                  <w:tcW w:w="4369" w:type="pct"/>
                  <w:tcBorders>
                    <w:top w:val="single" w:color="auto" w:sz="4" w:space="0"/>
                    <w:left w:val="single" w:color="000000" w:sz="4" w:space="0"/>
                    <w:bottom w:val="single" w:color="auto" w:sz="4" w:space="0"/>
                    <w:right w:val="single" w:color="000000" w:sz="4" w:space="0"/>
                  </w:tcBorders>
                  <w:vAlign w:val="center"/>
                </w:tcPr>
                <w:p w14:paraId="3403FA99">
                  <w:pPr>
                    <w:adjustRightInd w:val="0"/>
                    <w:snapToGrid w:val="0"/>
                    <w:spacing w:line="340" w:lineRule="exact"/>
                    <w:rPr>
                      <w:rFonts w:hint="eastAsia" w:ascii="宋体" w:hAnsi="宋体"/>
                      <w:bCs/>
                      <w:szCs w:val="21"/>
                      <w:highlight w:val="none"/>
                    </w:rPr>
                  </w:pPr>
                  <w:r>
                    <w:rPr>
                      <w:rFonts w:hint="eastAsia" w:ascii="宋体" w:hAnsi="宋体"/>
                      <w:bCs/>
                      <w:szCs w:val="21"/>
                      <w:highlight w:val="none"/>
                    </w:rPr>
                    <w:t>交通运输主管部门核发的：</w:t>
                  </w:r>
                </w:p>
                <w:p w14:paraId="2963F787">
                  <w:pPr>
                    <w:adjustRightInd w:val="0"/>
                    <w:snapToGrid w:val="0"/>
                    <w:spacing w:line="340" w:lineRule="exact"/>
                    <w:rPr>
                      <w:rFonts w:hint="eastAsia" w:ascii="宋体" w:hAnsi="宋体"/>
                      <w:bCs/>
                      <w:szCs w:val="21"/>
                      <w:highlight w:val="none"/>
                    </w:rPr>
                  </w:pPr>
                  <w:r>
                    <w:rPr>
                      <w:rFonts w:hint="eastAsia" w:ascii="宋体" w:hAnsi="宋体"/>
                      <w:bCs/>
                      <w:szCs w:val="21"/>
                      <w:highlight w:val="none"/>
                    </w:rPr>
                    <w:fldChar w:fldCharType="begin"/>
                  </w:r>
                  <w:r>
                    <w:rPr>
                      <w:rFonts w:hint="eastAsia" w:ascii="宋体" w:hAnsi="宋体"/>
                      <w:bCs/>
                      <w:szCs w:val="21"/>
                      <w:highlight w:val="none"/>
                    </w:rPr>
                    <w:instrText xml:space="preserve"> = 1 \* GB3 </w:instrText>
                  </w:r>
                  <w:r>
                    <w:rPr>
                      <w:rFonts w:hint="eastAsia" w:ascii="宋体" w:hAnsi="宋体"/>
                      <w:bCs/>
                      <w:szCs w:val="21"/>
                      <w:highlight w:val="none"/>
                    </w:rPr>
                    <w:fldChar w:fldCharType="separate"/>
                  </w:r>
                  <w:r>
                    <w:rPr>
                      <w:rFonts w:hint="eastAsia" w:ascii="宋体" w:hAnsi="宋体"/>
                      <w:bCs/>
                      <w:szCs w:val="21"/>
                      <w:highlight w:val="none"/>
                    </w:rPr>
                    <w:t>①</w:t>
                  </w:r>
                  <w:r>
                    <w:rPr>
                      <w:rFonts w:hint="eastAsia" w:ascii="宋体" w:hAnsi="宋体"/>
                      <w:bCs/>
                      <w:szCs w:val="21"/>
                      <w:highlight w:val="none"/>
                    </w:rPr>
                    <w:fldChar w:fldCharType="end"/>
                  </w:r>
                  <w:r>
                    <w:rPr>
                      <w:rFonts w:hint="eastAsia" w:ascii="宋体" w:hAnsi="宋体"/>
                      <w:bCs/>
                      <w:szCs w:val="21"/>
                      <w:highlight w:val="none"/>
                    </w:rPr>
                    <w:t>路基路面养护</w:t>
                  </w:r>
                  <w:r>
                    <w:rPr>
                      <w:rFonts w:hint="eastAsia" w:ascii="宋体" w:hAnsi="宋体"/>
                      <w:bCs/>
                      <w:szCs w:val="21"/>
                      <w:highlight w:val="none"/>
                    </w:rPr>
                    <w:t>乙级（或甲级）资质；</w:t>
                  </w:r>
                </w:p>
                <w:p w14:paraId="7B1BC0AB">
                  <w:pPr>
                    <w:adjustRightInd w:val="0"/>
                    <w:snapToGrid w:val="0"/>
                    <w:spacing w:line="340" w:lineRule="exact"/>
                    <w:rPr>
                      <w:rFonts w:hint="eastAsia" w:ascii="宋体" w:hAnsi="宋体"/>
                      <w:bCs/>
                      <w:szCs w:val="21"/>
                      <w:highlight w:val="none"/>
                    </w:rPr>
                  </w:pPr>
                  <w:r>
                    <w:rPr>
                      <w:rFonts w:hint="eastAsia" w:ascii="宋体" w:hAnsi="宋体"/>
                      <w:bCs/>
                      <w:szCs w:val="21"/>
                      <w:highlight w:val="none"/>
                    </w:rPr>
                    <w:fldChar w:fldCharType="begin"/>
                  </w:r>
                  <w:r>
                    <w:rPr>
                      <w:rFonts w:hint="eastAsia" w:ascii="宋体" w:hAnsi="宋体"/>
                      <w:bCs/>
                      <w:szCs w:val="21"/>
                      <w:highlight w:val="none"/>
                    </w:rPr>
                    <w:instrText xml:space="preserve"> = 2 \* GB3 </w:instrText>
                  </w:r>
                  <w:r>
                    <w:rPr>
                      <w:rFonts w:hint="eastAsia" w:ascii="宋体" w:hAnsi="宋体"/>
                      <w:bCs/>
                      <w:szCs w:val="21"/>
                      <w:highlight w:val="none"/>
                    </w:rPr>
                    <w:fldChar w:fldCharType="separate"/>
                  </w:r>
                  <w:r>
                    <w:rPr>
                      <w:rFonts w:hint="eastAsia" w:ascii="宋体" w:hAnsi="宋体"/>
                      <w:bCs/>
                      <w:szCs w:val="21"/>
                      <w:highlight w:val="none"/>
                    </w:rPr>
                    <w:t>②</w:t>
                  </w:r>
                  <w:r>
                    <w:rPr>
                      <w:rFonts w:hint="eastAsia" w:ascii="宋体" w:hAnsi="宋体"/>
                      <w:bCs/>
                      <w:szCs w:val="21"/>
                      <w:highlight w:val="none"/>
                    </w:rPr>
                    <w:fldChar w:fldCharType="end"/>
                  </w:r>
                  <w:r>
                    <w:rPr>
                      <w:rFonts w:hint="eastAsia" w:ascii="宋体" w:hAnsi="宋体"/>
                      <w:bCs/>
                      <w:szCs w:val="21"/>
                      <w:highlight w:val="none"/>
                    </w:rPr>
                    <w:t>桥梁养护乙级（或甲级）资质</w:t>
                  </w:r>
                  <w:r>
                    <w:rPr>
                      <w:rFonts w:hint="eastAsia" w:ascii="宋体" w:hAnsi="宋体"/>
                      <w:bCs/>
                      <w:szCs w:val="21"/>
                      <w:highlight w:val="none"/>
                    </w:rPr>
                    <w:t>；</w:t>
                  </w:r>
                </w:p>
                <w:p w14:paraId="72BB5D06">
                  <w:pPr>
                    <w:adjustRightInd w:val="0"/>
                    <w:snapToGrid w:val="0"/>
                    <w:spacing w:line="340" w:lineRule="exact"/>
                    <w:rPr>
                      <w:rFonts w:hint="eastAsia" w:ascii="宋体" w:hAnsi="宋体"/>
                      <w:bCs/>
                      <w:szCs w:val="21"/>
                      <w:highlight w:val="none"/>
                    </w:rPr>
                  </w:pPr>
                  <w:r>
                    <w:rPr>
                      <w:rFonts w:hint="eastAsia" w:ascii="宋体" w:hAnsi="宋体"/>
                      <w:bCs/>
                      <w:szCs w:val="21"/>
                      <w:highlight w:val="none"/>
                    </w:rPr>
                    <w:fldChar w:fldCharType="begin"/>
                  </w:r>
                  <w:r>
                    <w:rPr>
                      <w:rFonts w:hint="eastAsia" w:ascii="宋体" w:hAnsi="宋体"/>
                      <w:bCs/>
                      <w:szCs w:val="21"/>
                      <w:highlight w:val="none"/>
                    </w:rPr>
                    <w:instrText xml:space="preserve"> = 3 \* GB3 </w:instrText>
                  </w:r>
                  <w:r>
                    <w:rPr>
                      <w:rFonts w:hint="eastAsia" w:ascii="宋体" w:hAnsi="宋体"/>
                      <w:bCs/>
                      <w:szCs w:val="21"/>
                      <w:highlight w:val="none"/>
                    </w:rPr>
                    <w:fldChar w:fldCharType="separate"/>
                  </w:r>
                  <w:r>
                    <w:rPr>
                      <w:rFonts w:hint="eastAsia" w:ascii="宋体" w:hAnsi="宋体"/>
                      <w:bCs/>
                      <w:szCs w:val="21"/>
                      <w:highlight w:val="none"/>
                    </w:rPr>
                    <w:t>③</w:t>
                  </w:r>
                  <w:r>
                    <w:rPr>
                      <w:rFonts w:hint="eastAsia" w:ascii="宋体" w:hAnsi="宋体"/>
                      <w:bCs/>
                      <w:szCs w:val="21"/>
                      <w:highlight w:val="none"/>
                    </w:rPr>
                    <w:fldChar w:fldCharType="end"/>
                  </w:r>
                  <w:r>
                    <w:rPr>
                      <w:rFonts w:hint="eastAsia" w:ascii="宋体" w:hAnsi="宋体"/>
                      <w:bCs/>
                      <w:szCs w:val="21"/>
                      <w:highlight w:val="none"/>
                    </w:rPr>
                    <w:t>交通安全设施养护资质（可以承担二级及以下公路交通安全设施的各类养护工程）或交通安全设施养护资质（可以承担各等级公路交通安全设施的各类养护工程）。</w:t>
                  </w:r>
                </w:p>
              </w:tc>
            </w:tr>
            <w:tr w14:paraId="6751F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31" w:type="pct"/>
                  <w:vAlign w:val="center"/>
                </w:tcPr>
                <w:p w14:paraId="49E621CC">
                  <w:pPr>
                    <w:adjustRightInd w:val="0"/>
                    <w:snapToGrid w:val="0"/>
                    <w:spacing w:line="340" w:lineRule="exact"/>
                    <w:jc w:val="center"/>
                    <w:rPr>
                      <w:rFonts w:hint="eastAsia" w:ascii="宋体" w:hAnsi="宋体"/>
                      <w:bCs/>
                      <w:szCs w:val="21"/>
                      <w:highlight w:val="none"/>
                    </w:rPr>
                  </w:pPr>
                  <w:r>
                    <w:rPr>
                      <w:rFonts w:hint="eastAsia" w:ascii="黑体" w:hAnsi="黑体" w:eastAsia="黑体"/>
                      <w:bCs/>
                      <w:szCs w:val="21"/>
                      <w:highlight w:val="none"/>
                    </w:rPr>
                    <w:t>YB26YH04</w:t>
                  </w:r>
                </w:p>
              </w:tc>
              <w:tc>
                <w:tcPr>
                  <w:tcW w:w="4369" w:type="pct"/>
                  <w:tcBorders>
                    <w:top w:val="single" w:color="auto" w:sz="4" w:space="0"/>
                    <w:left w:val="single" w:color="000000" w:sz="4" w:space="0"/>
                    <w:bottom w:val="single" w:color="auto" w:sz="4" w:space="0"/>
                    <w:right w:val="single" w:color="000000" w:sz="4" w:space="0"/>
                  </w:tcBorders>
                  <w:vAlign w:val="center"/>
                </w:tcPr>
                <w:p w14:paraId="06234C71">
                  <w:pPr>
                    <w:adjustRightInd w:val="0"/>
                    <w:snapToGrid w:val="0"/>
                    <w:spacing w:line="340" w:lineRule="exact"/>
                    <w:rPr>
                      <w:rFonts w:hint="eastAsia" w:ascii="宋体" w:hAnsi="宋体"/>
                      <w:bCs/>
                      <w:szCs w:val="21"/>
                      <w:highlight w:val="none"/>
                    </w:rPr>
                  </w:pPr>
                  <w:r>
                    <w:rPr>
                      <w:rFonts w:hint="eastAsia" w:ascii="宋体" w:hAnsi="宋体"/>
                      <w:bCs/>
                      <w:szCs w:val="21"/>
                      <w:highlight w:val="none"/>
                    </w:rPr>
                    <w:t>交通运输主管部门核发的：</w:t>
                  </w:r>
                </w:p>
                <w:p w14:paraId="78DD0D50">
                  <w:pPr>
                    <w:adjustRightInd w:val="0"/>
                    <w:snapToGrid w:val="0"/>
                    <w:spacing w:line="340" w:lineRule="exact"/>
                    <w:rPr>
                      <w:rFonts w:hint="eastAsia" w:ascii="宋体" w:hAnsi="宋体"/>
                      <w:bCs/>
                      <w:szCs w:val="21"/>
                      <w:highlight w:val="none"/>
                    </w:rPr>
                  </w:pPr>
                  <w:r>
                    <w:rPr>
                      <w:rFonts w:hint="eastAsia" w:ascii="宋体" w:hAnsi="宋体"/>
                      <w:bCs/>
                      <w:szCs w:val="21"/>
                      <w:highlight w:val="none"/>
                    </w:rPr>
                    <w:fldChar w:fldCharType="begin"/>
                  </w:r>
                  <w:r>
                    <w:rPr>
                      <w:rFonts w:hint="eastAsia" w:ascii="宋体" w:hAnsi="宋体"/>
                      <w:bCs/>
                      <w:szCs w:val="21"/>
                      <w:highlight w:val="none"/>
                    </w:rPr>
                    <w:instrText xml:space="preserve"> = 1 \* GB3 </w:instrText>
                  </w:r>
                  <w:r>
                    <w:rPr>
                      <w:rFonts w:hint="eastAsia" w:ascii="宋体" w:hAnsi="宋体"/>
                      <w:bCs/>
                      <w:szCs w:val="21"/>
                      <w:highlight w:val="none"/>
                    </w:rPr>
                    <w:fldChar w:fldCharType="separate"/>
                  </w:r>
                  <w:r>
                    <w:rPr>
                      <w:rFonts w:hint="eastAsia" w:ascii="宋体" w:hAnsi="宋体"/>
                      <w:bCs/>
                      <w:szCs w:val="21"/>
                      <w:highlight w:val="none"/>
                    </w:rPr>
                    <w:t>①</w:t>
                  </w:r>
                  <w:r>
                    <w:rPr>
                      <w:rFonts w:hint="eastAsia" w:ascii="宋体" w:hAnsi="宋体"/>
                      <w:bCs/>
                      <w:szCs w:val="21"/>
                      <w:highlight w:val="none"/>
                    </w:rPr>
                    <w:fldChar w:fldCharType="end"/>
                  </w:r>
                  <w:r>
                    <w:rPr>
                      <w:rFonts w:hint="eastAsia" w:ascii="宋体" w:hAnsi="宋体"/>
                      <w:bCs/>
                      <w:szCs w:val="21"/>
                      <w:highlight w:val="none"/>
                    </w:rPr>
                    <w:t>路基路面养护</w:t>
                  </w:r>
                  <w:r>
                    <w:rPr>
                      <w:rFonts w:hint="eastAsia" w:ascii="宋体" w:hAnsi="宋体"/>
                      <w:bCs/>
                      <w:szCs w:val="21"/>
                      <w:highlight w:val="none"/>
                    </w:rPr>
                    <w:t>乙级（或甲级）资质；</w:t>
                  </w:r>
                </w:p>
                <w:p w14:paraId="5354BD88">
                  <w:pPr>
                    <w:adjustRightInd w:val="0"/>
                    <w:snapToGrid w:val="0"/>
                    <w:spacing w:line="340" w:lineRule="exact"/>
                    <w:rPr>
                      <w:rFonts w:hint="eastAsia" w:ascii="宋体" w:hAnsi="宋体"/>
                      <w:bCs/>
                      <w:szCs w:val="21"/>
                      <w:highlight w:val="none"/>
                    </w:rPr>
                  </w:pPr>
                  <w:r>
                    <w:rPr>
                      <w:rFonts w:hint="eastAsia" w:ascii="宋体" w:hAnsi="宋体"/>
                      <w:bCs/>
                      <w:szCs w:val="21"/>
                      <w:highlight w:val="none"/>
                    </w:rPr>
                    <w:fldChar w:fldCharType="begin"/>
                  </w:r>
                  <w:r>
                    <w:rPr>
                      <w:rFonts w:hint="eastAsia" w:ascii="宋体" w:hAnsi="宋体"/>
                      <w:bCs/>
                      <w:szCs w:val="21"/>
                      <w:highlight w:val="none"/>
                    </w:rPr>
                    <w:instrText xml:space="preserve"> = 2 \* GB3 </w:instrText>
                  </w:r>
                  <w:r>
                    <w:rPr>
                      <w:rFonts w:hint="eastAsia" w:ascii="宋体" w:hAnsi="宋体"/>
                      <w:bCs/>
                      <w:szCs w:val="21"/>
                      <w:highlight w:val="none"/>
                    </w:rPr>
                    <w:fldChar w:fldCharType="separate"/>
                  </w:r>
                  <w:r>
                    <w:rPr>
                      <w:rFonts w:hint="eastAsia" w:ascii="宋体" w:hAnsi="宋体"/>
                      <w:bCs/>
                      <w:szCs w:val="21"/>
                      <w:highlight w:val="none"/>
                    </w:rPr>
                    <w:t>②</w:t>
                  </w:r>
                  <w:r>
                    <w:rPr>
                      <w:rFonts w:hint="eastAsia" w:ascii="宋体" w:hAnsi="宋体"/>
                      <w:bCs/>
                      <w:szCs w:val="21"/>
                      <w:highlight w:val="none"/>
                    </w:rPr>
                    <w:fldChar w:fldCharType="end"/>
                  </w:r>
                  <w:r>
                    <w:rPr>
                      <w:rFonts w:hint="eastAsia" w:ascii="宋体" w:hAnsi="宋体"/>
                      <w:bCs/>
                      <w:szCs w:val="21"/>
                      <w:highlight w:val="none"/>
                    </w:rPr>
                    <w:t>桥梁养护乙级（或甲级）资质</w:t>
                  </w:r>
                  <w:r>
                    <w:rPr>
                      <w:rFonts w:hint="eastAsia" w:ascii="宋体" w:hAnsi="宋体"/>
                      <w:bCs/>
                      <w:szCs w:val="21"/>
                      <w:highlight w:val="none"/>
                    </w:rPr>
                    <w:t>；</w:t>
                  </w:r>
                </w:p>
                <w:p w14:paraId="02BF9AC5">
                  <w:pPr>
                    <w:adjustRightInd w:val="0"/>
                    <w:snapToGrid w:val="0"/>
                    <w:spacing w:line="340" w:lineRule="exact"/>
                    <w:rPr>
                      <w:rFonts w:hint="eastAsia" w:ascii="宋体" w:hAnsi="宋体"/>
                      <w:bCs/>
                      <w:szCs w:val="21"/>
                      <w:highlight w:val="none"/>
                    </w:rPr>
                  </w:pPr>
                  <w:r>
                    <w:rPr>
                      <w:rFonts w:hint="eastAsia" w:ascii="宋体" w:hAnsi="宋体"/>
                      <w:bCs/>
                      <w:szCs w:val="21"/>
                      <w:highlight w:val="none"/>
                    </w:rPr>
                    <w:fldChar w:fldCharType="begin"/>
                  </w:r>
                  <w:r>
                    <w:rPr>
                      <w:rFonts w:hint="eastAsia" w:ascii="宋体" w:hAnsi="宋体"/>
                      <w:bCs/>
                      <w:szCs w:val="21"/>
                      <w:highlight w:val="none"/>
                    </w:rPr>
                    <w:instrText xml:space="preserve"> = 3 \* GB3 </w:instrText>
                  </w:r>
                  <w:r>
                    <w:rPr>
                      <w:rFonts w:hint="eastAsia" w:ascii="宋体" w:hAnsi="宋体"/>
                      <w:bCs/>
                      <w:szCs w:val="21"/>
                      <w:highlight w:val="none"/>
                    </w:rPr>
                    <w:fldChar w:fldCharType="separate"/>
                  </w:r>
                  <w:r>
                    <w:rPr>
                      <w:rFonts w:hint="eastAsia" w:ascii="宋体" w:hAnsi="宋体"/>
                      <w:bCs/>
                      <w:szCs w:val="21"/>
                      <w:highlight w:val="none"/>
                    </w:rPr>
                    <w:t>③</w:t>
                  </w:r>
                  <w:r>
                    <w:rPr>
                      <w:rFonts w:hint="eastAsia" w:ascii="宋体" w:hAnsi="宋体"/>
                      <w:bCs/>
                      <w:szCs w:val="21"/>
                      <w:highlight w:val="none"/>
                    </w:rPr>
                    <w:fldChar w:fldCharType="end"/>
                  </w:r>
                  <w:r>
                    <w:rPr>
                      <w:rFonts w:hint="eastAsia" w:ascii="宋体" w:hAnsi="宋体"/>
                      <w:bCs/>
                      <w:szCs w:val="21"/>
                      <w:highlight w:val="none"/>
                    </w:rPr>
                    <w:t>交通安全设施养护资质（可以承担二级及以下公路交通安全设施的各类养护工程）或交通安全设施养护资质（可以承担各等级公路交通安全设施的各类养护工程）；</w:t>
                  </w:r>
                </w:p>
                <w:p w14:paraId="74F7F3D4">
                  <w:pPr>
                    <w:adjustRightInd w:val="0"/>
                    <w:snapToGrid w:val="0"/>
                    <w:spacing w:line="340" w:lineRule="exact"/>
                    <w:rPr>
                      <w:rFonts w:hint="eastAsia" w:ascii="宋体" w:hAnsi="宋体"/>
                      <w:bCs/>
                      <w:szCs w:val="21"/>
                      <w:highlight w:val="none"/>
                    </w:rPr>
                  </w:pPr>
                  <w:r>
                    <w:rPr>
                      <w:rFonts w:hint="eastAsia" w:ascii="宋体" w:hAnsi="宋体"/>
                      <w:bCs/>
                      <w:szCs w:val="21"/>
                      <w:highlight w:val="none"/>
                    </w:rPr>
                    <w:t>建设行政主管部门核发的：</w:t>
                  </w:r>
                  <w:r>
                    <w:rPr>
                      <w:rFonts w:ascii="宋体" w:hAnsi="宋体"/>
                      <w:bCs/>
                      <w:szCs w:val="21"/>
                      <w:highlight w:val="none"/>
                    </w:rPr>
                    <w:br w:type="textWrapping"/>
                  </w:r>
                  <w:r>
                    <w:rPr>
                      <w:rFonts w:hint="eastAsia" w:ascii="宋体" w:hAnsi="宋体"/>
                      <w:bCs/>
                      <w:szCs w:val="21"/>
                      <w:highlight w:val="none"/>
                    </w:rPr>
                    <w:fldChar w:fldCharType="begin"/>
                  </w:r>
                  <w:r>
                    <w:rPr>
                      <w:rFonts w:hint="eastAsia" w:ascii="宋体" w:hAnsi="宋体"/>
                      <w:bCs/>
                      <w:szCs w:val="21"/>
                      <w:highlight w:val="none"/>
                    </w:rPr>
                    <w:instrText xml:space="preserve"> = 4 \* GB3 </w:instrText>
                  </w:r>
                  <w:r>
                    <w:rPr>
                      <w:rFonts w:hint="eastAsia" w:ascii="宋体" w:hAnsi="宋体"/>
                      <w:bCs/>
                      <w:szCs w:val="21"/>
                      <w:highlight w:val="none"/>
                    </w:rPr>
                    <w:fldChar w:fldCharType="separate"/>
                  </w:r>
                  <w:r>
                    <w:rPr>
                      <w:rFonts w:hint="eastAsia" w:ascii="宋体" w:hAnsi="宋体"/>
                      <w:bCs/>
                      <w:szCs w:val="21"/>
                      <w:highlight w:val="none"/>
                    </w:rPr>
                    <w:t>④</w:t>
                  </w:r>
                  <w:r>
                    <w:rPr>
                      <w:rFonts w:hint="eastAsia" w:ascii="宋体" w:hAnsi="宋体"/>
                      <w:bCs/>
                      <w:szCs w:val="21"/>
                      <w:highlight w:val="none"/>
                    </w:rPr>
                    <w:fldChar w:fldCharType="end"/>
                  </w:r>
                  <w:r>
                    <w:rPr>
                      <w:rFonts w:hint="eastAsia" w:ascii="宋体" w:hAnsi="宋体"/>
                      <w:bCs/>
                      <w:szCs w:val="21"/>
                      <w:highlight w:val="none"/>
                    </w:rPr>
                    <w:t>公路交通工程专业承包（公路机电工程分项）二级（或一级）资质。</w:t>
                  </w:r>
                </w:p>
              </w:tc>
            </w:tr>
            <w:tr w14:paraId="35BE5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31" w:type="pct"/>
                  <w:vAlign w:val="center"/>
                </w:tcPr>
                <w:p w14:paraId="4F304EBF">
                  <w:pPr>
                    <w:adjustRightInd w:val="0"/>
                    <w:snapToGrid w:val="0"/>
                    <w:spacing w:line="340" w:lineRule="exact"/>
                    <w:jc w:val="center"/>
                    <w:rPr>
                      <w:rFonts w:hint="eastAsia" w:ascii="宋体" w:hAnsi="宋体"/>
                      <w:bCs/>
                      <w:szCs w:val="21"/>
                      <w:highlight w:val="none"/>
                    </w:rPr>
                  </w:pPr>
                  <w:r>
                    <w:rPr>
                      <w:rFonts w:hint="eastAsia" w:ascii="黑体" w:hAnsi="黑体" w:eastAsia="黑体"/>
                      <w:bCs/>
                      <w:szCs w:val="21"/>
                      <w:highlight w:val="none"/>
                    </w:rPr>
                    <w:t>YB26YH05</w:t>
                  </w:r>
                </w:p>
              </w:tc>
              <w:tc>
                <w:tcPr>
                  <w:tcW w:w="4369" w:type="pct"/>
                  <w:tcBorders>
                    <w:top w:val="single" w:color="auto" w:sz="4" w:space="0"/>
                    <w:left w:val="single" w:color="000000" w:sz="4" w:space="0"/>
                    <w:bottom w:val="single" w:color="auto" w:sz="4" w:space="0"/>
                    <w:right w:val="single" w:color="000000" w:sz="4" w:space="0"/>
                  </w:tcBorders>
                  <w:vAlign w:val="center"/>
                </w:tcPr>
                <w:p w14:paraId="1D7925FF">
                  <w:pPr>
                    <w:adjustRightInd w:val="0"/>
                    <w:snapToGrid w:val="0"/>
                    <w:spacing w:line="340" w:lineRule="exact"/>
                    <w:rPr>
                      <w:rFonts w:hint="eastAsia" w:ascii="宋体" w:hAnsi="宋体"/>
                      <w:bCs/>
                      <w:szCs w:val="21"/>
                      <w:highlight w:val="none"/>
                    </w:rPr>
                  </w:pPr>
                  <w:r>
                    <w:rPr>
                      <w:rFonts w:hint="eastAsia" w:ascii="宋体" w:hAnsi="宋体"/>
                      <w:bCs/>
                      <w:szCs w:val="21"/>
                      <w:highlight w:val="none"/>
                    </w:rPr>
                    <w:t>交通运输主管部门核发的：</w:t>
                  </w:r>
                </w:p>
                <w:p w14:paraId="2A26CFAA">
                  <w:pPr>
                    <w:adjustRightInd w:val="0"/>
                    <w:snapToGrid w:val="0"/>
                    <w:spacing w:line="340" w:lineRule="exact"/>
                    <w:rPr>
                      <w:rFonts w:hint="eastAsia" w:ascii="宋体" w:hAnsi="宋体"/>
                      <w:bCs/>
                      <w:szCs w:val="21"/>
                      <w:highlight w:val="none"/>
                    </w:rPr>
                  </w:pPr>
                  <w:r>
                    <w:rPr>
                      <w:rFonts w:hint="eastAsia" w:ascii="宋体" w:hAnsi="宋体"/>
                      <w:bCs/>
                      <w:szCs w:val="21"/>
                      <w:highlight w:val="none"/>
                    </w:rPr>
                    <w:fldChar w:fldCharType="begin"/>
                  </w:r>
                  <w:r>
                    <w:rPr>
                      <w:rFonts w:hint="eastAsia" w:ascii="宋体" w:hAnsi="宋体"/>
                      <w:bCs/>
                      <w:szCs w:val="21"/>
                      <w:highlight w:val="none"/>
                    </w:rPr>
                    <w:instrText xml:space="preserve"> = 1 \* GB3 </w:instrText>
                  </w:r>
                  <w:r>
                    <w:rPr>
                      <w:rFonts w:hint="eastAsia" w:ascii="宋体" w:hAnsi="宋体"/>
                      <w:bCs/>
                      <w:szCs w:val="21"/>
                      <w:highlight w:val="none"/>
                    </w:rPr>
                    <w:fldChar w:fldCharType="separate"/>
                  </w:r>
                  <w:r>
                    <w:rPr>
                      <w:rFonts w:hint="eastAsia" w:ascii="宋体" w:hAnsi="宋体"/>
                      <w:bCs/>
                      <w:szCs w:val="21"/>
                      <w:highlight w:val="none"/>
                    </w:rPr>
                    <w:t>①</w:t>
                  </w:r>
                  <w:r>
                    <w:rPr>
                      <w:rFonts w:hint="eastAsia" w:ascii="宋体" w:hAnsi="宋体"/>
                      <w:bCs/>
                      <w:szCs w:val="21"/>
                      <w:highlight w:val="none"/>
                    </w:rPr>
                    <w:fldChar w:fldCharType="end"/>
                  </w:r>
                  <w:r>
                    <w:rPr>
                      <w:rFonts w:hint="eastAsia" w:ascii="宋体" w:hAnsi="宋体"/>
                      <w:bCs/>
                      <w:szCs w:val="21"/>
                      <w:highlight w:val="none"/>
                    </w:rPr>
                    <w:t>路基</w:t>
                  </w:r>
                  <w:r>
                    <w:rPr>
                      <w:rFonts w:hint="eastAsia" w:ascii="宋体" w:hAnsi="宋体"/>
                      <w:bCs/>
                      <w:szCs w:val="21"/>
                      <w:highlight w:val="none"/>
                    </w:rPr>
                    <w:t>路面养护甲级资质；</w:t>
                  </w:r>
                </w:p>
                <w:p w14:paraId="2DF98447">
                  <w:pPr>
                    <w:adjustRightInd w:val="0"/>
                    <w:snapToGrid w:val="0"/>
                    <w:spacing w:line="340" w:lineRule="exact"/>
                    <w:rPr>
                      <w:rFonts w:hint="eastAsia" w:ascii="宋体" w:hAnsi="宋体"/>
                      <w:bCs/>
                      <w:szCs w:val="21"/>
                      <w:highlight w:val="none"/>
                    </w:rPr>
                  </w:pPr>
                  <w:r>
                    <w:rPr>
                      <w:rFonts w:hint="eastAsia" w:ascii="宋体" w:hAnsi="宋体"/>
                      <w:bCs/>
                      <w:szCs w:val="21"/>
                      <w:highlight w:val="none"/>
                    </w:rPr>
                    <w:fldChar w:fldCharType="begin"/>
                  </w:r>
                  <w:r>
                    <w:rPr>
                      <w:rFonts w:hint="eastAsia" w:ascii="宋体" w:hAnsi="宋体"/>
                      <w:bCs/>
                      <w:szCs w:val="21"/>
                      <w:highlight w:val="none"/>
                    </w:rPr>
                    <w:instrText xml:space="preserve"> = 2 \* GB3 </w:instrText>
                  </w:r>
                  <w:r>
                    <w:rPr>
                      <w:rFonts w:hint="eastAsia" w:ascii="宋体" w:hAnsi="宋体"/>
                      <w:bCs/>
                      <w:szCs w:val="21"/>
                      <w:highlight w:val="none"/>
                    </w:rPr>
                    <w:fldChar w:fldCharType="separate"/>
                  </w:r>
                  <w:r>
                    <w:rPr>
                      <w:rFonts w:hint="eastAsia" w:ascii="宋体" w:hAnsi="宋体"/>
                      <w:bCs/>
                      <w:szCs w:val="21"/>
                      <w:highlight w:val="none"/>
                    </w:rPr>
                    <w:t>②</w:t>
                  </w:r>
                  <w:r>
                    <w:rPr>
                      <w:rFonts w:hint="eastAsia" w:ascii="宋体" w:hAnsi="宋体"/>
                      <w:bCs/>
                      <w:szCs w:val="21"/>
                      <w:highlight w:val="none"/>
                    </w:rPr>
                    <w:fldChar w:fldCharType="end"/>
                  </w:r>
                  <w:r>
                    <w:rPr>
                      <w:rFonts w:hint="eastAsia" w:ascii="宋体" w:hAnsi="宋体"/>
                      <w:bCs/>
                      <w:szCs w:val="21"/>
                      <w:highlight w:val="none"/>
                    </w:rPr>
                    <w:t>桥梁养护乙级（或甲级）资质；</w:t>
                  </w:r>
                </w:p>
                <w:p w14:paraId="2280184E">
                  <w:pPr>
                    <w:adjustRightInd w:val="0"/>
                    <w:snapToGrid w:val="0"/>
                    <w:spacing w:line="340" w:lineRule="exact"/>
                    <w:rPr>
                      <w:rFonts w:hint="eastAsia" w:ascii="宋体" w:hAnsi="宋体"/>
                      <w:bCs/>
                      <w:szCs w:val="21"/>
                      <w:highlight w:val="none"/>
                    </w:rPr>
                  </w:pPr>
                  <w:r>
                    <w:rPr>
                      <w:rFonts w:hint="eastAsia" w:ascii="宋体" w:hAnsi="宋体"/>
                      <w:bCs/>
                      <w:szCs w:val="21"/>
                      <w:highlight w:val="none"/>
                    </w:rPr>
                    <w:fldChar w:fldCharType="begin"/>
                  </w:r>
                  <w:r>
                    <w:rPr>
                      <w:rFonts w:hint="eastAsia" w:ascii="宋体" w:hAnsi="宋体"/>
                      <w:bCs/>
                      <w:szCs w:val="21"/>
                      <w:highlight w:val="none"/>
                    </w:rPr>
                    <w:instrText xml:space="preserve"> = 3 \* GB3 </w:instrText>
                  </w:r>
                  <w:r>
                    <w:rPr>
                      <w:rFonts w:hint="eastAsia" w:ascii="宋体" w:hAnsi="宋体"/>
                      <w:bCs/>
                      <w:szCs w:val="21"/>
                      <w:highlight w:val="none"/>
                    </w:rPr>
                    <w:fldChar w:fldCharType="separate"/>
                  </w:r>
                  <w:r>
                    <w:rPr>
                      <w:rFonts w:hint="eastAsia" w:ascii="宋体" w:hAnsi="宋体"/>
                      <w:bCs/>
                      <w:szCs w:val="21"/>
                      <w:highlight w:val="none"/>
                    </w:rPr>
                    <w:t>③</w:t>
                  </w:r>
                  <w:r>
                    <w:rPr>
                      <w:rFonts w:hint="eastAsia" w:ascii="宋体" w:hAnsi="宋体"/>
                      <w:bCs/>
                      <w:szCs w:val="21"/>
                      <w:highlight w:val="none"/>
                    </w:rPr>
                    <w:fldChar w:fldCharType="end"/>
                  </w:r>
                  <w:r>
                    <w:rPr>
                      <w:rFonts w:hint="eastAsia" w:ascii="宋体" w:hAnsi="宋体"/>
                      <w:bCs/>
                      <w:szCs w:val="21"/>
                      <w:highlight w:val="none"/>
                    </w:rPr>
                    <w:t>交通安全设施养护资质（可以承担各等级公路交通安全设施的各类养护工程）；</w:t>
                  </w:r>
                </w:p>
                <w:p w14:paraId="58545143">
                  <w:pPr>
                    <w:adjustRightInd w:val="0"/>
                    <w:snapToGrid w:val="0"/>
                    <w:spacing w:line="340" w:lineRule="exact"/>
                    <w:rPr>
                      <w:rFonts w:hint="eastAsia" w:ascii="宋体" w:hAnsi="宋体"/>
                      <w:bCs/>
                      <w:szCs w:val="21"/>
                      <w:highlight w:val="none"/>
                    </w:rPr>
                  </w:pPr>
                  <w:r>
                    <w:rPr>
                      <w:rFonts w:hint="eastAsia" w:ascii="宋体" w:hAnsi="宋体"/>
                      <w:bCs/>
                      <w:szCs w:val="21"/>
                      <w:highlight w:val="none"/>
                    </w:rPr>
                    <w:t>建设行政主管部门核发的：</w:t>
                  </w:r>
                  <w:r>
                    <w:rPr>
                      <w:rFonts w:ascii="宋体" w:hAnsi="宋体"/>
                      <w:bCs/>
                      <w:szCs w:val="21"/>
                      <w:highlight w:val="none"/>
                    </w:rPr>
                    <w:br w:type="textWrapping"/>
                  </w:r>
                  <w:r>
                    <w:rPr>
                      <w:rFonts w:hint="eastAsia" w:ascii="宋体" w:hAnsi="宋体"/>
                      <w:bCs/>
                      <w:szCs w:val="21"/>
                      <w:highlight w:val="none"/>
                    </w:rPr>
                    <w:fldChar w:fldCharType="begin"/>
                  </w:r>
                  <w:r>
                    <w:rPr>
                      <w:rFonts w:hint="eastAsia" w:ascii="宋体" w:hAnsi="宋体"/>
                      <w:bCs/>
                      <w:szCs w:val="21"/>
                      <w:highlight w:val="none"/>
                    </w:rPr>
                    <w:instrText xml:space="preserve"> = 4 \* GB3 </w:instrText>
                  </w:r>
                  <w:r>
                    <w:rPr>
                      <w:rFonts w:hint="eastAsia" w:ascii="宋体" w:hAnsi="宋体"/>
                      <w:bCs/>
                      <w:szCs w:val="21"/>
                      <w:highlight w:val="none"/>
                    </w:rPr>
                    <w:fldChar w:fldCharType="separate"/>
                  </w:r>
                  <w:r>
                    <w:rPr>
                      <w:rFonts w:hint="eastAsia" w:ascii="宋体" w:hAnsi="宋体"/>
                      <w:bCs/>
                      <w:szCs w:val="21"/>
                      <w:highlight w:val="none"/>
                    </w:rPr>
                    <w:t>④</w:t>
                  </w:r>
                  <w:r>
                    <w:rPr>
                      <w:rFonts w:hint="eastAsia" w:ascii="宋体" w:hAnsi="宋体"/>
                      <w:bCs/>
                      <w:szCs w:val="21"/>
                      <w:highlight w:val="none"/>
                    </w:rPr>
                    <w:fldChar w:fldCharType="end"/>
                  </w:r>
                  <w:r>
                    <w:rPr>
                      <w:rFonts w:hint="eastAsia" w:ascii="宋体" w:hAnsi="宋体"/>
                      <w:bCs/>
                      <w:szCs w:val="21"/>
                      <w:highlight w:val="none"/>
                    </w:rPr>
                    <w:t>公路交通工程专业承包（公路机电工程分项）二级（或一级）资质。</w:t>
                  </w:r>
                </w:p>
              </w:tc>
            </w:tr>
            <w:tr w14:paraId="407AA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31" w:type="pct"/>
                  <w:vAlign w:val="center"/>
                </w:tcPr>
                <w:p w14:paraId="6311AE4D">
                  <w:pPr>
                    <w:adjustRightInd w:val="0"/>
                    <w:snapToGrid w:val="0"/>
                    <w:spacing w:line="340" w:lineRule="exact"/>
                    <w:jc w:val="center"/>
                    <w:rPr>
                      <w:rFonts w:hint="eastAsia" w:ascii="宋体" w:hAnsi="宋体"/>
                      <w:bCs/>
                      <w:szCs w:val="21"/>
                      <w:highlight w:val="none"/>
                    </w:rPr>
                  </w:pPr>
                  <w:r>
                    <w:rPr>
                      <w:rFonts w:hint="eastAsia" w:ascii="黑体" w:hAnsi="黑体" w:eastAsia="黑体"/>
                      <w:bCs/>
                      <w:szCs w:val="21"/>
                      <w:highlight w:val="none"/>
                    </w:rPr>
                    <w:t>YB26YH06</w:t>
                  </w:r>
                </w:p>
              </w:tc>
              <w:tc>
                <w:tcPr>
                  <w:tcW w:w="4369" w:type="pct"/>
                  <w:tcBorders>
                    <w:top w:val="single" w:color="auto" w:sz="4" w:space="0"/>
                    <w:left w:val="single" w:color="000000" w:sz="4" w:space="0"/>
                    <w:bottom w:val="single" w:color="auto" w:sz="4" w:space="0"/>
                    <w:right w:val="single" w:color="000000" w:sz="4" w:space="0"/>
                  </w:tcBorders>
                  <w:vAlign w:val="center"/>
                </w:tcPr>
                <w:p w14:paraId="3CC20A20">
                  <w:pPr>
                    <w:adjustRightInd w:val="0"/>
                    <w:snapToGrid w:val="0"/>
                    <w:spacing w:line="340" w:lineRule="exact"/>
                    <w:rPr>
                      <w:rFonts w:hint="eastAsia" w:ascii="宋体" w:hAnsi="宋体"/>
                      <w:bCs/>
                      <w:szCs w:val="21"/>
                      <w:highlight w:val="none"/>
                    </w:rPr>
                  </w:pPr>
                  <w:r>
                    <w:rPr>
                      <w:rFonts w:hint="eastAsia" w:ascii="宋体" w:hAnsi="宋体"/>
                      <w:bCs/>
                      <w:szCs w:val="21"/>
                      <w:highlight w:val="none"/>
                    </w:rPr>
                    <w:t>交通运输主管部门核发的：</w:t>
                  </w:r>
                </w:p>
                <w:p w14:paraId="3CD1D28D">
                  <w:pPr>
                    <w:adjustRightInd w:val="0"/>
                    <w:snapToGrid w:val="0"/>
                    <w:spacing w:line="340" w:lineRule="exact"/>
                    <w:rPr>
                      <w:rFonts w:hint="eastAsia" w:ascii="宋体" w:hAnsi="宋体"/>
                      <w:bCs/>
                      <w:szCs w:val="21"/>
                      <w:highlight w:val="none"/>
                    </w:rPr>
                  </w:pPr>
                  <w:r>
                    <w:rPr>
                      <w:rFonts w:hint="eastAsia" w:ascii="宋体" w:hAnsi="宋体"/>
                      <w:bCs/>
                      <w:szCs w:val="21"/>
                      <w:highlight w:val="none"/>
                    </w:rPr>
                    <w:fldChar w:fldCharType="begin"/>
                  </w:r>
                  <w:r>
                    <w:rPr>
                      <w:rFonts w:hint="eastAsia" w:ascii="宋体" w:hAnsi="宋体"/>
                      <w:bCs/>
                      <w:szCs w:val="21"/>
                      <w:highlight w:val="none"/>
                    </w:rPr>
                    <w:instrText xml:space="preserve"> = 1 \* GB3 </w:instrText>
                  </w:r>
                  <w:r>
                    <w:rPr>
                      <w:rFonts w:hint="eastAsia" w:ascii="宋体" w:hAnsi="宋体"/>
                      <w:bCs/>
                      <w:szCs w:val="21"/>
                      <w:highlight w:val="none"/>
                    </w:rPr>
                    <w:fldChar w:fldCharType="separate"/>
                  </w:r>
                  <w:r>
                    <w:rPr>
                      <w:rFonts w:hint="eastAsia" w:ascii="宋体" w:hAnsi="宋体"/>
                      <w:bCs/>
                      <w:szCs w:val="21"/>
                      <w:highlight w:val="none"/>
                    </w:rPr>
                    <w:t>①</w:t>
                  </w:r>
                  <w:r>
                    <w:rPr>
                      <w:rFonts w:hint="eastAsia" w:ascii="宋体" w:hAnsi="宋体"/>
                      <w:bCs/>
                      <w:szCs w:val="21"/>
                      <w:highlight w:val="none"/>
                    </w:rPr>
                    <w:fldChar w:fldCharType="end"/>
                  </w:r>
                  <w:r>
                    <w:rPr>
                      <w:rFonts w:hint="eastAsia" w:ascii="宋体" w:hAnsi="宋体"/>
                      <w:bCs/>
                      <w:szCs w:val="21"/>
                      <w:highlight w:val="none"/>
                    </w:rPr>
                    <w:t>路基</w:t>
                  </w:r>
                  <w:r>
                    <w:rPr>
                      <w:rFonts w:hint="eastAsia" w:ascii="宋体" w:hAnsi="宋体"/>
                      <w:bCs/>
                      <w:szCs w:val="21"/>
                      <w:highlight w:val="none"/>
                    </w:rPr>
                    <w:t>路面养护甲级资质；</w:t>
                  </w:r>
                </w:p>
                <w:p w14:paraId="58873866">
                  <w:pPr>
                    <w:adjustRightInd w:val="0"/>
                    <w:snapToGrid w:val="0"/>
                    <w:spacing w:line="340" w:lineRule="exact"/>
                    <w:rPr>
                      <w:rFonts w:hint="eastAsia" w:ascii="宋体" w:hAnsi="宋体"/>
                      <w:bCs/>
                      <w:szCs w:val="21"/>
                      <w:highlight w:val="none"/>
                    </w:rPr>
                  </w:pPr>
                  <w:r>
                    <w:rPr>
                      <w:rFonts w:hint="eastAsia" w:ascii="宋体" w:hAnsi="宋体"/>
                      <w:bCs/>
                      <w:szCs w:val="21"/>
                      <w:highlight w:val="none"/>
                    </w:rPr>
                    <w:fldChar w:fldCharType="begin"/>
                  </w:r>
                  <w:r>
                    <w:rPr>
                      <w:rFonts w:hint="eastAsia" w:ascii="宋体" w:hAnsi="宋体"/>
                      <w:bCs/>
                      <w:szCs w:val="21"/>
                      <w:highlight w:val="none"/>
                    </w:rPr>
                    <w:instrText xml:space="preserve"> = 2 \* GB3 </w:instrText>
                  </w:r>
                  <w:r>
                    <w:rPr>
                      <w:rFonts w:hint="eastAsia" w:ascii="宋体" w:hAnsi="宋体"/>
                      <w:bCs/>
                      <w:szCs w:val="21"/>
                      <w:highlight w:val="none"/>
                    </w:rPr>
                    <w:fldChar w:fldCharType="separate"/>
                  </w:r>
                  <w:r>
                    <w:rPr>
                      <w:rFonts w:hint="eastAsia" w:ascii="宋体" w:hAnsi="宋体"/>
                      <w:bCs/>
                      <w:szCs w:val="21"/>
                      <w:highlight w:val="none"/>
                    </w:rPr>
                    <w:t>②</w:t>
                  </w:r>
                  <w:r>
                    <w:rPr>
                      <w:rFonts w:hint="eastAsia" w:ascii="宋体" w:hAnsi="宋体"/>
                      <w:bCs/>
                      <w:szCs w:val="21"/>
                      <w:highlight w:val="none"/>
                    </w:rPr>
                    <w:fldChar w:fldCharType="end"/>
                  </w:r>
                  <w:r>
                    <w:rPr>
                      <w:rFonts w:hint="eastAsia" w:ascii="宋体" w:hAnsi="宋体"/>
                      <w:bCs/>
                      <w:szCs w:val="21"/>
                      <w:highlight w:val="none"/>
                    </w:rPr>
                    <w:t>桥梁养护乙级（或甲级）资质；</w:t>
                  </w:r>
                </w:p>
                <w:p w14:paraId="568B7E57">
                  <w:pPr>
                    <w:adjustRightInd w:val="0"/>
                    <w:snapToGrid w:val="0"/>
                    <w:spacing w:line="340" w:lineRule="exact"/>
                    <w:rPr>
                      <w:rFonts w:hint="eastAsia" w:ascii="宋体" w:hAnsi="宋体"/>
                      <w:bCs/>
                      <w:szCs w:val="21"/>
                      <w:highlight w:val="none"/>
                    </w:rPr>
                  </w:pPr>
                  <w:r>
                    <w:rPr>
                      <w:rFonts w:hint="eastAsia" w:ascii="宋体" w:hAnsi="宋体"/>
                      <w:bCs/>
                      <w:szCs w:val="21"/>
                      <w:highlight w:val="none"/>
                    </w:rPr>
                    <w:fldChar w:fldCharType="begin"/>
                  </w:r>
                  <w:r>
                    <w:rPr>
                      <w:rFonts w:hint="eastAsia" w:ascii="宋体" w:hAnsi="宋体"/>
                      <w:bCs/>
                      <w:szCs w:val="21"/>
                      <w:highlight w:val="none"/>
                    </w:rPr>
                    <w:instrText xml:space="preserve"> = 3 \* GB3 </w:instrText>
                  </w:r>
                  <w:r>
                    <w:rPr>
                      <w:rFonts w:hint="eastAsia" w:ascii="宋体" w:hAnsi="宋体"/>
                      <w:bCs/>
                      <w:szCs w:val="21"/>
                      <w:highlight w:val="none"/>
                    </w:rPr>
                    <w:fldChar w:fldCharType="separate"/>
                  </w:r>
                  <w:r>
                    <w:rPr>
                      <w:rFonts w:hint="eastAsia" w:ascii="宋体" w:hAnsi="宋体"/>
                      <w:bCs/>
                      <w:szCs w:val="21"/>
                      <w:highlight w:val="none"/>
                    </w:rPr>
                    <w:t>③</w:t>
                  </w:r>
                  <w:r>
                    <w:rPr>
                      <w:rFonts w:hint="eastAsia" w:ascii="宋体" w:hAnsi="宋体"/>
                      <w:bCs/>
                      <w:szCs w:val="21"/>
                      <w:highlight w:val="none"/>
                    </w:rPr>
                    <w:fldChar w:fldCharType="end"/>
                  </w:r>
                  <w:r>
                    <w:rPr>
                      <w:rFonts w:hint="eastAsia" w:ascii="宋体" w:hAnsi="宋体"/>
                      <w:bCs/>
                      <w:szCs w:val="21"/>
                      <w:highlight w:val="none"/>
                    </w:rPr>
                    <w:t>交通安全设施养护资质（可以承担各等级公路交通安全设施的各类养护工程）。</w:t>
                  </w:r>
                </w:p>
              </w:tc>
            </w:tr>
            <w:tr w14:paraId="1A9EF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31" w:type="pct"/>
                  <w:vAlign w:val="center"/>
                </w:tcPr>
                <w:p w14:paraId="3D9522A5">
                  <w:pPr>
                    <w:adjustRightInd w:val="0"/>
                    <w:snapToGrid w:val="0"/>
                    <w:spacing w:line="340" w:lineRule="exact"/>
                    <w:jc w:val="center"/>
                    <w:rPr>
                      <w:rFonts w:hint="eastAsia" w:ascii="宋体" w:hAnsi="宋体"/>
                      <w:bCs/>
                      <w:szCs w:val="21"/>
                      <w:highlight w:val="none"/>
                    </w:rPr>
                  </w:pPr>
                  <w:r>
                    <w:rPr>
                      <w:rFonts w:hint="eastAsia" w:ascii="黑体" w:hAnsi="黑体" w:eastAsia="黑体"/>
                      <w:bCs/>
                      <w:szCs w:val="21"/>
                      <w:highlight w:val="none"/>
                    </w:rPr>
                    <w:t>YB26YH07</w:t>
                  </w:r>
                </w:p>
              </w:tc>
              <w:tc>
                <w:tcPr>
                  <w:tcW w:w="4369" w:type="pct"/>
                  <w:tcBorders>
                    <w:top w:val="single" w:color="auto" w:sz="4" w:space="0"/>
                    <w:left w:val="single" w:color="000000" w:sz="4" w:space="0"/>
                    <w:bottom w:val="single" w:color="auto" w:sz="4" w:space="0"/>
                    <w:right w:val="single" w:color="000000" w:sz="4" w:space="0"/>
                  </w:tcBorders>
                  <w:vAlign w:val="center"/>
                </w:tcPr>
                <w:p w14:paraId="4834CF37">
                  <w:pPr>
                    <w:adjustRightInd w:val="0"/>
                    <w:snapToGrid w:val="0"/>
                    <w:spacing w:line="340" w:lineRule="exact"/>
                    <w:rPr>
                      <w:rFonts w:hint="eastAsia" w:ascii="宋体" w:hAnsi="宋体"/>
                      <w:bCs/>
                      <w:szCs w:val="21"/>
                      <w:highlight w:val="none"/>
                    </w:rPr>
                  </w:pPr>
                  <w:r>
                    <w:rPr>
                      <w:rFonts w:hint="eastAsia" w:ascii="宋体" w:hAnsi="宋体"/>
                      <w:bCs/>
                      <w:szCs w:val="21"/>
                      <w:highlight w:val="none"/>
                    </w:rPr>
                    <w:t>交通运输主管部门核发的：</w:t>
                  </w:r>
                </w:p>
                <w:p w14:paraId="5EAC79A1">
                  <w:pPr>
                    <w:adjustRightInd w:val="0"/>
                    <w:snapToGrid w:val="0"/>
                    <w:spacing w:line="340" w:lineRule="exact"/>
                    <w:rPr>
                      <w:rFonts w:hint="eastAsia" w:ascii="宋体" w:hAnsi="宋体"/>
                      <w:bCs/>
                      <w:szCs w:val="21"/>
                      <w:highlight w:val="none"/>
                    </w:rPr>
                  </w:pPr>
                  <w:r>
                    <w:rPr>
                      <w:rFonts w:hint="eastAsia" w:ascii="宋体" w:hAnsi="宋体"/>
                      <w:bCs/>
                      <w:szCs w:val="21"/>
                      <w:highlight w:val="none"/>
                    </w:rPr>
                    <w:fldChar w:fldCharType="begin"/>
                  </w:r>
                  <w:r>
                    <w:rPr>
                      <w:rFonts w:hint="eastAsia" w:ascii="宋体" w:hAnsi="宋体"/>
                      <w:bCs/>
                      <w:szCs w:val="21"/>
                      <w:highlight w:val="none"/>
                    </w:rPr>
                    <w:instrText xml:space="preserve"> = 1 \* GB3 </w:instrText>
                  </w:r>
                  <w:r>
                    <w:rPr>
                      <w:rFonts w:hint="eastAsia" w:ascii="宋体" w:hAnsi="宋体"/>
                      <w:bCs/>
                      <w:szCs w:val="21"/>
                      <w:highlight w:val="none"/>
                    </w:rPr>
                    <w:fldChar w:fldCharType="separate"/>
                  </w:r>
                  <w:r>
                    <w:rPr>
                      <w:rFonts w:hint="eastAsia" w:ascii="宋体" w:hAnsi="宋体"/>
                      <w:bCs/>
                      <w:szCs w:val="21"/>
                      <w:highlight w:val="none"/>
                    </w:rPr>
                    <w:t>①</w:t>
                  </w:r>
                  <w:r>
                    <w:rPr>
                      <w:rFonts w:hint="eastAsia" w:ascii="宋体" w:hAnsi="宋体"/>
                      <w:bCs/>
                      <w:szCs w:val="21"/>
                      <w:highlight w:val="none"/>
                    </w:rPr>
                    <w:fldChar w:fldCharType="end"/>
                  </w:r>
                  <w:r>
                    <w:rPr>
                      <w:rFonts w:hint="eastAsia" w:ascii="宋体" w:hAnsi="宋体"/>
                      <w:bCs/>
                      <w:szCs w:val="21"/>
                      <w:highlight w:val="none"/>
                    </w:rPr>
                    <w:t>路基路面养护</w:t>
                  </w:r>
                  <w:r>
                    <w:rPr>
                      <w:rFonts w:hint="eastAsia" w:ascii="宋体" w:hAnsi="宋体"/>
                      <w:bCs/>
                      <w:szCs w:val="21"/>
                      <w:highlight w:val="none"/>
                    </w:rPr>
                    <w:t>乙级（或甲级）资质；</w:t>
                  </w:r>
                </w:p>
                <w:p w14:paraId="19C2ECB5">
                  <w:pPr>
                    <w:adjustRightInd w:val="0"/>
                    <w:snapToGrid w:val="0"/>
                    <w:spacing w:line="340" w:lineRule="exact"/>
                    <w:rPr>
                      <w:rFonts w:hint="eastAsia" w:ascii="宋体" w:hAnsi="宋体"/>
                      <w:bCs/>
                      <w:szCs w:val="21"/>
                      <w:highlight w:val="none"/>
                    </w:rPr>
                  </w:pPr>
                  <w:r>
                    <w:rPr>
                      <w:rFonts w:hint="eastAsia" w:ascii="宋体" w:hAnsi="宋体"/>
                      <w:bCs/>
                      <w:szCs w:val="21"/>
                      <w:highlight w:val="none"/>
                    </w:rPr>
                    <w:fldChar w:fldCharType="begin"/>
                  </w:r>
                  <w:r>
                    <w:rPr>
                      <w:rFonts w:hint="eastAsia" w:ascii="宋体" w:hAnsi="宋体"/>
                      <w:bCs/>
                      <w:szCs w:val="21"/>
                      <w:highlight w:val="none"/>
                    </w:rPr>
                    <w:instrText xml:space="preserve"> = 2 \* GB3 </w:instrText>
                  </w:r>
                  <w:r>
                    <w:rPr>
                      <w:rFonts w:hint="eastAsia" w:ascii="宋体" w:hAnsi="宋体"/>
                      <w:bCs/>
                      <w:szCs w:val="21"/>
                      <w:highlight w:val="none"/>
                    </w:rPr>
                    <w:fldChar w:fldCharType="separate"/>
                  </w:r>
                  <w:r>
                    <w:rPr>
                      <w:rFonts w:hint="eastAsia" w:ascii="宋体" w:hAnsi="宋体"/>
                      <w:bCs/>
                      <w:szCs w:val="21"/>
                      <w:highlight w:val="none"/>
                    </w:rPr>
                    <w:t>②</w:t>
                  </w:r>
                  <w:r>
                    <w:rPr>
                      <w:rFonts w:hint="eastAsia" w:ascii="宋体" w:hAnsi="宋体"/>
                      <w:bCs/>
                      <w:szCs w:val="21"/>
                      <w:highlight w:val="none"/>
                    </w:rPr>
                    <w:fldChar w:fldCharType="end"/>
                  </w:r>
                  <w:r>
                    <w:rPr>
                      <w:rFonts w:hint="eastAsia" w:ascii="宋体" w:hAnsi="宋体"/>
                      <w:bCs/>
                      <w:szCs w:val="21"/>
                      <w:highlight w:val="none"/>
                    </w:rPr>
                    <w:t>桥梁养护乙级（或甲级）资质</w:t>
                  </w:r>
                  <w:r>
                    <w:rPr>
                      <w:rFonts w:hint="eastAsia" w:ascii="宋体" w:hAnsi="宋体"/>
                      <w:bCs/>
                      <w:szCs w:val="21"/>
                      <w:highlight w:val="none"/>
                    </w:rPr>
                    <w:t>；</w:t>
                  </w:r>
                </w:p>
                <w:p w14:paraId="65FF9FB6">
                  <w:pPr>
                    <w:adjustRightInd w:val="0"/>
                    <w:snapToGrid w:val="0"/>
                    <w:spacing w:line="340" w:lineRule="exact"/>
                    <w:rPr>
                      <w:rFonts w:hint="eastAsia" w:ascii="宋体" w:hAnsi="宋体"/>
                      <w:bCs/>
                      <w:szCs w:val="21"/>
                      <w:highlight w:val="none"/>
                    </w:rPr>
                  </w:pPr>
                  <w:r>
                    <w:rPr>
                      <w:rFonts w:hint="eastAsia" w:ascii="宋体" w:hAnsi="宋体"/>
                      <w:bCs/>
                      <w:szCs w:val="21"/>
                      <w:highlight w:val="none"/>
                    </w:rPr>
                    <w:fldChar w:fldCharType="begin"/>
                  </w:r>
                  <w:r>
                    <w:rPr>
                      <w:rFonts w:hint="eastAsia" w:ascii="宋体" w:hAnsi="宋体"/>
                      <w:bCs/>
                      <w:szCs w:val="21"/>
                      <w:highlight w:val="none"/>
                    </w:rPr>
                    <w:instrText xml:space="preserve"> = 3 \* GB3 </w:instrText>
                  </w:r>
                  <w:r>
                    <w:rPr>
                      <w:rFonts w:hint="eastAsia" w:ascii="宋体" w:hAnsi="宋体"/>
                      <w:bCs/>
                      <w:szCs w:val="21"/>
                      <w:highlight w:val="none"/>
                    </w:rPr>
                    <w:fldChar w:fldCharType="separate"/>
                  </w:r>
                  <w:r>
                    <w:rPr>
                      <w:rFonts w:hint="eastAsia" w:ascii="宋体" w:hAnsi="宋体"/>
                      <w:bCs/>
                      <w:szCs w:val="21"/>
                      <w:highlight w:val="none"/>
                    </w:rPr>
                    <w:t>③</w:t>
                  </w:r>
                  <w:r>
                    <w:rPr>
                      <w:rFonts w:hint="eastAsia" w:ascii="宋体" w:hAnsi="宋体"/>
                      <w:bCs/>
                      <w:szCs w:val="21"/>
                      <w:highlight w:val="none"/>
                    </w:rPr>
                    <w:fldChar w:fldCharType="end"/>
                  </w:r>
                  <w:r>
                    <w:rPr>
                      <w:rFonts w:hint="eastAsia" w:ascii="宋体" w:hAnsi="宋体"/>
                      <w:bCs/>
                      <w:szCs w:val="21"/>
                      <w:highlight w:val="none"/>
                    </w:rPr>
                    <w:t>交通安全设施养护资质（可以承担二级及以下公路交通安全设施的各类养护工程）或交通安全设施养护资质（可以承担各等级公路交通安全设施的各类养护工程）。</w:t>
                  </w:r>
                </w:p>
              </w:tc>
            </w:tr>
            <w:tr w14:paraId="6AFE6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31" w:type="pct"/>
                  <w:vAlign w:val="center"/>
                </w:tcPr>
                <w:p w14:paraId="43534138">
                  <w:pPr>
                    <w:adjustRightInd w:val="0"/>
                    <w:snapToGrid w:val="0"/>
                    <w:spacing w:line="340" w:lineRule="exact"/>
                    <w:jc w:val="center"/>
                    <w:rPr>
                      <w:rFonts w:hint="eastAsia" w:ascii="黑体" w:hAnsi="黑体" w:eastAsia="黑体"/>
                      <w:bCs/>
                      <w:szCs w:val="21"/>
                      <w:highlight w:val="none"/>
                    </w:rPr>
                  </w:pPr>
                  <w:r>
                    <w:rPr>
                      <w:rFonts w:hint="eastAsia" w:ascii="黑体" w:hAnsi="黑体" w:eastAsia="黑体"/>
                      <w:bCs/>
                      <w:szCs w:val="21"/>
                      <w:highlight w:val="none"/>
                    </w:rPr>
                    <w:t>YB26YH08</w:t>
                  </w:r>
                </w:p>
              </w:tc>
              <w:tc>
                <w:tcPr>
                  <w:tcW w:w="4369" w:type="pct"/>
                  <w:tcBorders>
                    <w:top w:val="single" w:color="auto" w:sz="4" w:space="0"/>
                    <w:left w:val="single" w:color="000000" w:sz="4" w:space="0"/>
                    <w:bottom w:val="single" w:color="auto" w:sz="4" w:space="0"/>
                    <w:right w:val="single" w:color="000000" w:sz="4" w:space="0"/>
                  </w:tcBorders>
                  <w:vAlign w:val="center"/>
                </w:tcPr>
                <w:p w14:paraId="728AD2B2">
                  <w:pPr>
                    <w:adjustRightInd w:val="0"/>
                    <w:snapToGrid w:val="0"/>
                    <w:spacing w:line="340" w:lineRule="exact"/>
                    <w:rPr>
                      <w:rFonts w:hint="eastAsia" w:ascii="宋体" w:hAnsi="宋体"/>
                      <w:bCs/>
                      <w:szCs w:val="21"/>
                      <w:highlight w:val="none"/>
                    </w:rPr>
                  </w:pPr>
                  <w:r>
                    <w:rPr>
                      <w:rFonts w:hint="eastAsia" w:ascii="宋体" w:hAnsi="宋体"/>
                      <w:bCs/>
                      <w:szCs w:val="21"/>
                      <w:highlight w:val="none"/>
                    </w:rPr>
                    <w:t>交通运输主管部门核发的：</w:t>
                  </w:r>
                </w:p>
                <w:p w14:paraId="29A757AB">
                  <w:pPr>
                    <w:adjustRightInd w:val="0"/>
                    <w:snapToGrid w:val="0"/>
                    <w:spacing w:line="320" w:lineRule="exact"/>
                    <w:rPr>
                      <w:rFonts w:hint="eastAsia" w:ascii="宋体" w:hAnsi="宋体"/>
                      <w:bCs/>
                      <w:szCs w:val="21"/>
                      <w:highlight w:val="none"/>
                    </w:rPr>
                  </w:pPr>
                  <w:r>
                    <w:rPr>
                      <w:rFonts w:hint="eastAsia" w:ascii="宋体" w:hAnsi="宋体"/>
                      <w:bCs/>
                      <w:szCs w:val="21"/>
                      <w:highlight w:val="none"/>
                    </w:rPr>
                    <w:fldChar w:fldCharType="begin"/>
                  </w:r>
                  <w:r>
                    <w:rPr>
                      <w:rFonts w:hint="eastAsia" w:ascii="宋体" w:hAnsi="宋体"/>
                      <w:bCs/>
                      <w:szCs w:val="21"/>
                      <w:highlight w:val="none"/>
                    </w:rPr>
                    <w:instrText xml:space="preserve"> = 1 \* GB3 </w:instrText>
                  </w:r>
                  <w:r>
                    <w:rPr>
                      <w:rFonts w:hint="eastAsia" w:ascii="宋体" w:hAnsi="宋体"/>
                      <w:bCs/>
                      <w:szCs w:val="21"/>
                      <w:highlight w:val="none"/>
                    </w:rPr>
                    <w:fldChar w:fldCharType="separate"/>
                  </w:r>
                  <w:r>
                    <w:rPr>
                      <w:rFonts w:hint="eastAsia" w:ascii="宋体" w:hAnsi="宋体"/>
                      <w:bCs/>
                      <w:szCs w:val="21"/>
                      <w:highlight w:val="none"/>
                    </w:rPr>
                    <w:t>①</w:t>
                  </w:r>
                  <w:r>
                    <w:rPr>
                      <w:rFonts w:hint="eastAsia" w:ascii="宋体" w:hAnsi="宋体"/>
                      <w:bCs/>
                      <w:szCs w:val="21"/>
                      <w:highlight w:val="none"/>
                    </w:rPr>
                    <w:fldChar w:fldCharType="end"/>
                  </w:r>
                  <w:r>
                    <w:rPr>
                      <w:rFonts w:hint="eastAsia" w:ascii="宋体" w:hAnsi="宋体"/>
                      <w:bCs/>
                      <w:szCs w:val="21"/>
                      <w:highlight w:val="none"/>
                    </w:rPr>
                    <w:t>路基路面养护</w:t>
                  </w:r>
                  <w:r>
                    <w:rPr>
                      <w:rFonts w:hint="eastAsia" w:ascii="宋体" w:hAnsi="宋体"/>
                      <w:bCs/>
                      <w:szCs w:val="21"/>
                      <w:highlight w:val="none"/>
                    </w:rPr>
                    <w:t>乙级（或甲级）资质；</w:t>
                  </w:r>
                </w:p>
                <w:p w14:paraId="6BF9D8C8">
                  <w:pPr>
                    <w:adjustRightInd w:val="0"/>
                    <w:snapToGrid w:val="0"/>
                    <w:spacing w:line="340" w:lineRule="exact"/>
                    <w:rPr>
                      <w:rFonts w:hint="eastAsia" w:ascii="宋体" w:hAnsi="宋体"/>
                      <w:bCs/>
                      <w:szCs w:val="21"/>
                      <w:highlight w:val="none"/>
                    </w:rPr>
                  </w:pPr>
                  <w:r>
                    <w:rPr>
                      <w:rFonts w:hint="eastAsia" w:ascii="宋体" w:hAnsi="宋体"/>
                      <w:bCs/>
                      <w:szCs w:val="21"/>
                      <w:highlight w:val="none"/>
                    </w:rPr>
                    <w:fldChar w:fldCharType="begin"/>
                  </w:r>
                  <w:r>
                    <w:rPr>
                      <w:rFonts w:hint="eastAsia" w:ascii="宋体" w:hAnsi="宋体"/>
                      <w:bCs/>
                      <w:szCs w:val="21"/>
                      <w:highlight w:val="none"/>
                    </w:rPr>
                    <w:instrText xml:space="preserve"> = 2 \* GB3 </w:instrText>
                  </w:r>
                  <w:r>
                    <w:rPr>
                      <w:rFonts w:hint="eastAsia" w:ascii="宋体" w:hAnsi="宋体"/>
                      <w:bCs/>
                      <w:szCs w:val="21"/>
                      <w:highlight w:val="none"/>
                    </w:rPr>
                    <w:fldChar w:fldCharType="separate"/>
                  </w:r>
                  <w:r>
                    <w:rPr>
                      <w:rFonts w:hint="eastAsia" w:ascii="宋体" w:hAnsi="宋体"/>
                      <w:bCs/>
                      <w:szCs w:val="21"/>
                      <w:highlight w:val="none"/>
                    </w:rPr>
                    <w:t>②</w:t>
                  </w:r>
                  <w:r>
                    <w:rPr>
                      <w:rFonts w:hint="eastAsia" w:ascii="宋体" w:hAnsi="宋体"/>
                      <w:bCs/>
                      <w:szCs w:val="21"/>
                      <w:highlight w:val="none"/>
                    </w:rPr>
                    <w:fldChar w:fldCharType="end"/>
                  </w:r>
                  <w:r>
                    <w:rPr>
                      <w:rFonts w:hint="eastAsia" w:ascii="宋体" w:hAnsi="宋体"/>
                      <w:bCs/>
                      <w:szCs w:val="21"/>
                      <w:highlight w:val="none"/>
                    </w:rPr>
                    <w:t>交通安全设施养护资质（可以承担二级及以下公路交通安全设施的各类养护工程）或交通安全设施养护资质（可以承担各等级公路交通安全设施的各类养护工程）。</w:t>
                  </w:r>
                </w:p>
              </w:tc>
            </w:tr>
          </w:tbl>
          <w:p w14:paraId="7CA4266D">
            <w:pPr>
              <w:adjustRightInd w:val="0"/>
              <w:snapToGrid w:val="0"/>
              <w:spacing w:line="400" w:lineRule="exact"/>
              <w:ind w:firstLine="420" w:firstLineChars="200"/>
              <w:rPr>
                <w:rFonts w:hint="eastAsia" w:ascii="楷体" w:hAnsi="楷体" w:eastAsia="楷体"/>
                <w:bCs/>
                <w:szCs w:val="21"/>
                <w:highlight w:val="none"/>
              </w:rPr>
            </w:pPr>
          </w:p>
        </w:tc>
      </w:tr>
    </w:tbl>
    <w:p w14:paraId="33F45D28">
      <w:pPr>
        <w:spacing w:line="360" w:lineRule="exact"/>
        <w:rPr>
          <w:rFonts w:hint="eastAsia" w:ascii="宋体" w:hAnsi="宋体"/>
          <w:bCs/>
          <w:highlight w:val="none"/>
        </w:rPr>
      </w:pPr>
    </w:p>
    <w:p w14:paraId="57D0E93A">
      <w:pPr>
        <w:spacing w:line="360" w:lineRule="exact"/>
        <w:rPr>
          <w:rFonts w:hint="eastAsia" w:ascii="宋体" w:hAnsi="宋体"/>
          <w:bCs/>
          <w:highlight w:val="none"/>
        </w:rPr>
      </w:pPr>
    </w:p>
    <w:p w14:paraId="50B8E6BB">
      <w:pPr>
        <w:pStyle w:val="5"/>
        <w:adjustRightInd w:val="0"/>
        <w:snapToGrid w:val="0"/>
        <w:spacing w:beforeLines="50" w:after="0" w:line="360" w:lineRule="exact"/>
        <w:ind w:firstLine="280" w:firstLineChars="100"/>
        <w:jc w:val="center"/>
        <w:rPr>
          <w:rFonts w:hint="eastAsia" w:ascii="黑体" w:hAnsi="黑体"/>
          <w:sz w:val="28"/>
          <w:highlight w:val="none"/>
          <w:lang w:val="zh-CN"/>
        </w:rPr>
      </w:pPr>
    </w:p>
    <w:p w14:paraId="74581D0A">
      <w:pPr>
        <w:pStyle w:val="5"/>
        <w:adjustRightInd w:val="0"/>
        <w:snapToGrid w:val="0"/>
        <w:spacing w:beforeLines="50" w:after="0" w:line="360" w:lineRule="exact"/>
        <w:ind w:firstLine="280" w:firstLineChars="100"/>
        <w:jc w:val="center"/>
        <w:rPr>
          <w:highlight w:val="none"/>
          <w:lang w:val="zh-CN"/>
        </w:rPr>
      </w:pPr>
      <w:r>
        <w:rPr>
          <w:rFonts w:hint="eastAsia" w:ascii="黑体" w:hAnsi="黑体"/>
          <w:sz w:val="28"/>
          <w:highlight w:val="none"/>
          <w:lang w:val="zh-CN"/>
        </w:rPr>
        <w:t>附录2资格审查条件（财务最低要求）</w:t>
      </w:r>
    </w:p>
    <w:tbl>
      <w:tblPr>
        <w:tblStyle w:val="5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14:paraId="74F892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vAlign w:val="center"/>
          </w:tcPr>
          <w:p w14:paraId="305CD8DE">
            <w:pPr>
              <w:snapToGrid w:val="0"/>
              <w:spacing w:line="360" w:lineRule="exact"/>
              <w:jc w:val="center"/>
              <w:rPr>
                <w:rFonts w:hint="eastAsia" w:ascii="宋体" w:hAnsi="宋体"/>
                <w:bCs/>
                <w:szCs w:val="21"/>
                <w:highlight w:val="none"/>
              </w:rPr>
            </w:pPr>
            <w:r>
              <w:rPr>
                <w:rFonts w:hint="eastAsia" w:ascii="宋体" w:hAnsi="宋体"/>
                <w:bCs/>
                <w:szCs w:val="21"/>
                <w:highlight w:val="none"/>
              </w:rPr>
              <w:t>财务要求</w:t>
            </w:r>
          </w:p>
        </w:tc>
      </w:tr>
      <w:tr w14:paraId="59FA41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5000" w:type="pct"/>
            <w:vAlign w:val="center"/>
          </w:tcPr>
          <w:p w14:paraId="1DAB9184">
            <w:pPr>
              <w:adjustRightInd w:val="0"/>
              <w:snapToGrid w:val="0"/>
              <w:spacing w:line="360" w:lineRule="exact"/>
              <w:ind w:firstLine="420" w:firstLineChars="200"/>
              <w:jc w:val="left"/>
              <w:rPr>
                <w:rFonts w:hint="eastAsia" w:ascii="宋体" w:hAnsi="宋体"/>
                <w:bCs/>
                <w:kern w:val="0"/>
                <w:szCs w:val="21"/>
                <w:highlight w:val="none"/>
                <w:lang w:eastAsia="zh-TW"/>
              </w:rPr>
            </w:pPr>
            <w:r>
              <w:rPr>
                <w:rFonts w:hint="eastAsia" w:ascii="宋体" w:hAnsi="宋体" w:cs="宋体"/>
                <w:bCs/>
                <w:color w:val="000000"/>
                <w:kern w:val="0"/>
                <w:szCs w:val="21"/>
                <w:highlight w:val="none"/>
              </w:rPr>
              <w:t>投标人（包括联合体各方）近三年</w:t>
            </w:r>
            <w:r>
              <w:rPr>
                <w:rFonts w:hint="eastAsia" w:ascii="宋体" w:hAnsi="宋体" w:cs="宋体"/>
                <w:bCs/>
                <w:color w:val="000000"/>
                <w:kern w:val="0"/>
                <w:szCs w:val="21"/>
                <w:highlight w:val="none"/>
              </w:rPr>
              <w:t>（2023年～投标截止时间）应</w:t>
            </w:r>
            <w:r>
              <w:rPr>
                <w:rFonts w:hint="eastAsia" w:ascii="宋体" w:hAnsi="宋体" w:cs="宋体"/>
                <w:bCs/>
                <w:color w:val="000000"/>
                <w:kern w:val="0"/>
                <w:szCs w:val="21"/>
                <w:highlight w:val="none"/>
              </w:rPr>
              <w:t>当具有良好的商业信誉和健全的财务会计制度。</w:t>
            </w:r>
          </w:p>
        </w:tc>
      </w:tr>
    </w:tbl>
    <w:p w14:paraId="01FEB18C">
      <w:pPr>
        <w:rPr>
          <w:bCs/>
          <w:highlight w:val="none"/>
          <w:lang w:val="zh-CN"/>
        </w:rPr>
      </w:pPr>
    </w:p>
    <w:p w14:paraId="0D0CD778">
      <w:pPr>
        <w:rPr>
          <w:bCs/>
          <w:highlight w:val="none"/>
          <w:lang w:val="zh-CN"/>
        </w:rPr>
      </w:pPr>
    </w:p>
    <w:p w14:paraId="2435DAC7">
      <w:pPr>
        <w:rPr>
          <w:bCs/>
          <w:highlight w:val="none"/>
          <w:lang w:val="zh-CN"/>
        </w:rPr>
      </w:pPr>
    </w:p>
    <w:p w14:paraId="0E10A650">
      <w:pPr>
        <w:rPr>
          <w:bCs/>
          <w:highlight w:val="none"/>
          <w:lang w:val="zh-CN"/>
        </w:rPr>
      </w:pPr>
    </w:p>
    <w:p w14:paraId="1FF96DB7">
      <w:pPr>
        <w:rPr>
          <w:bCs/>
          <w:highlight w:val="none"/>
          <w:lang w:val="zh-CN"/>
        </w:rPr>
      </w:pPr>
    </w:p>
    <w:p w14:paraId="57E1E00A">
      <w:pPr>
        <w:pStyle w:val="5"/>
        <w:adjustRightInd w:val="0"/>
        <w:snapToGrid w:val="0"/>
        <w:spacing w:beforeLines="50" w:after="0" w:line="360" w:lineRule="exact"/>
        <w:ind w:firstLine="280" w:firstLineChars="100"/>
        <w:jc w:val="center"/>
        <w:rPr>
          <w:rFonts w:hint="eastAsia" w:ascii="黑体" w:hAnsi="黑体"/>
          <w:sz w:val="28"/>
          <w:highlight w:val="none"/>
          <w:lang w:val="zh-CN"/>
        </w:rPr>
      </w:pPr>
      <w:r>
        <w:rPr>
          <w:rFonts w:hint="eastAsia" w:ascii="黑体" w:hAnsi="黑体"/>
          <w:sz w:val="28"/>
          <w:highlight w:val="none"/>
          <w:lang w:val="zh-CN"/>
        </w:rPr>
        <w:t>附录3资格审查条件（业绩最低要求）</w:t>
      </w:r>
    </w:p>
    <w:tbl>
      <w:tblPr>
        <w:tblStyle w:val="5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14:paraId="764C45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5000" w:type="pct"/>
            <w:vAlign w:val="center"/>
          </w:tcPr>
          <w:p w14:paraId="0F5CCDB5">
            <w:pPr>
              <w:adjustRightInd w:val="0"/>
              <w:snapToGrid w:val="0"/>
              <w:spacing w:before="120" w:beforeLines="50" w:line="360" w:lineRule="exact"/>
              <w:jc w:val="center"/>
              <w:rPr>
                <w:rFonts w:hint="eastAsia" w:ascii="楷体" w:hAnsi="楷体" w:eastAsia="楷体_GB2312"/>
                <w:bCs/>
                <w:color w:val="000000"/>
                <w:szCs w:val="21"/>
                <w:highlight w:val="none"/>
              </w:rPr>
            </w:pPr>
            <w:r>
              <w:rPr>
                <w:rFonts w:hint="eastAsia" w:ascii="宋体" w:hAnsi="宋体"/>
                <w:bCs/>
                <w:color w:val="000000"/>
                <w:szCs w:val="21"/>
                <w:highlight w:val="none"/>
              </w:rPr>
              <w:t>业绩要求</w:t>
            </w:r>
          </w:p>
        </w:tc>
      </w:tr>
      <w:tr w14:paraId="191AF9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5000" w:type="pct"/>
            <w:vAlign w:val="center"/>
          </w:tcPr>
          <w:p w14:paraId="671B305B">
            <w:pPr>
              <w:adjustRightInd w:val="0"/>
              <w:snapToGrid w:val="0"/>
              <w:spacing w:before="120" w:beforeLines="50" w:after="120" w:afterLines="50" w:line="360" w:lineRule="exact"/>
              <w:ind w:firstLine="420" w:firstLineChars="200"/>
              <w:rPr>
                <w:rFonts w:hint="eastAsia" w:ascii="楷体" w:hAnsi="楷体" w:eastAsia="楷体" w:cs="宋体"/>
                <w:bCs/>
                <w:color w:val="000000"/>
                <w:kern w:val="0"/>
                <w:szCs w:val="21"/>
                <w:highlight w:val="none"/>
              </w:rPr>
            </w:pPr>
            <w:bookmarkStart w:id="104" w:name="OLE_LINK13"/>
            <w:r>
              <w:rPr>
                <w:rFonts w:hint="eastAsia" w:ascii="宋体" w:hAnsi="宋体"/>
                <w:bCs/>
                <w:szCs w:val="21"/>
                <w:highlight w:val="none"/>
              </w:rPr>
              <w:t>/</w:t>
            </w:r>
            <w:bookmarkEnd w:id="104"/>
          </w:p>
        </w:tc>
      </w:tr>
    </w:tbl>
    <w:p w14:paraId="39F2A21E">
      <w:pPr>
        <w:spacing w:line="360" w:lineRule="exact"/>
        <w:rPr>
          <w:bCs/>
          <w:highlight w:val="none"/>
          <w:lang w:val="zh-CN"/>
        </w:rPr>
      </w:pPr>
    </w:p>
    <w:p w14:paraId="4444B74D">
      <w:pPr>
        <w:spacing w:line="360" w:lineRule="exact"/>
        <w:rPr>
          <w:bCs/>
          <w:highlight w:val="none"/>
          <w:lang w:val="zh-CN"/>
        </w:rPr>
      </w:pPr>
    </w:p>
    <w:p w14:paraId="70FE86A5">
      <w:pPr>
        <w:spacing w:line="360" w:lineRule="exact"/>
        <w:rPr>
          <w:bCs/>
          <w:highlight w:val="none"/>
          <w:lang w:val="zh-CN"/>
        </w:rPr>
      </w:pPr>
    </w:p>
    <w:p w14:paraId="2A173CFC">
      <w:pPr>
        <w:spacing w:line="360" w:lineRule="exact"/>
        <w:rPr>
          <w:bCs/>
          <w:highlight w:val="none"/>
          <w:lang w:val="zh-CN"/>
        </w:rPr>
      </w:pPr>
    </w:p>
    <w:p w14:paraId="3AED6EFC">
      <w:pPr>
        <w:pStyle w:val="5"/>
        <w:adjustRightInd w:val="0"/>
        <w:snapToGrid w:val="0"/>
        <w:spacing w:beforeLines="50" w:after="0" w:line="360" w:lineRule="exact"/>
        <w:ind w:firstLine="280" w:firstLineChars="100"/>
        <w:jc w:val="center"/>
        <w:rPr>
          <w:rFonts w:hint="eastAsia" w:ascii="黑体" w:hAnsi="黑体"/>
          <w:sz w:val="28"/>
          <w:highlight w:val="none"/>
          <w:lang w:val="zh-CN"/>
        </w:rPr>
      </w:pPr>
      <w:r>
        <w:rPr>
          <w:rFonts w:hint="eastAsia" w:ascii="黑体" w:hAnsi="黑体"/>
          <w:sz w:val="28"/>
          <w:highlight w:val="none"/>
          <w:lang w:val="zh-CN"/>
        </w:rPr>
        <w:t>附录4资格审查条件（信誉最低要求）</w:t>
      </w:r>
    </w:p>
    <w:tbl>
      <w:tblPr>
        <w:tblStyle w:val="57"/>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14:paraId="1D9F6E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00" w:type="pct"/>
            <w:vAlign w:val="center"/>
          </w:tcPr>
          <w:p w14:paraId="41C780A7">
            <w:pPr>
              <w:adjustRightInd w:val="0"/>
              <w:snapToGrid w:val="0"/>
              <w:spacing w:before="120" w:beforeLines="50" w:line="360" w:lineRule="exact"/>
              <w:jc w:val="center"/>
              <w:rPr>
                <w:rFonts w:hint="eastAsia" w:ascii="宋体" w:hAnsi="宋体"/>
                <w:bCs/>
                <w:color w:val="000000"/>
                <w:szCs w:val="21"/>
                <w:highlight w:val="none"/>
              </w:rPr>
            </w:pPr>
            <w:r>
              <w:rPr>
                <w:rFonts w:hint="eastAsia" w:ascii="宋体" w:hAnsi="宋体"/>
                <w:bCs/>
                <w:color w:val="000000"/>
                <w:szCs w:val="21"/>
                <w:highlight w:val="none"/>
              </w:rPr>
              <w:t>信誉要求</w:t>
            </w:r>
          </w:p>
        </w:tc>
      </w:tr>
      <w:tr w14:paraId="704B21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5000" w:type="pct"/>
            <w:vAlign w:val="center"/>
          </w:tcPr>
          <w:p w14:paraId="0870F3F1">
            <w:pPr>
              <w:adjustRightInd w:val="0"/>
              <w:snapToGrid w:val="0"/>
              <w:spacing w:line="360" w:lineRule="exact"/>
              <w:ind w:firstLine="420" w:firstLineChars="200"/>
              <w:rPr>
                <w:rFonts w:hint="eastAsia" w:ascii="宋体" w:hAnsi="宋体"/>
                <w:bCs/>
                <w:szCs w:val="21"/>
                <w:highlight w:val="none"/>
              </w:rPr>
            </w:pPr>
            <w:r>
              <w:rPr>
                <w:rFonts w:hint="eastAsia" w:ascii="宋体" w:hAnsi="宋体"/>
                <w:bCs/>
                <w:szCs w:val="21"/>
                <w:highlight w:val="none"/>
              </w:rPr>
              <w:t>/</w:t>
            </w:r>
          </w:p>
        </w:tc>
      </w:tr>
      <w:bookmarkEnd w:id="91"/>
    </w:tbl>
    <w:p w14:paraId="73AB091B">
      <w:pPr>
        <w:rPr>
          <w:bCs/>
          <w:highlight w:val="none"/>
        </w:rPr>
      </w:pPr>
      <w:bookmarkStart w:id="105" w:name="_Hlk175945233"/>
    </w:p>
    <w:p w14:paraId="51458FC5">
      <w:pPr>
        <w:rPr>
          <w:bCs/>
          <w:highlight w:val="none"/>
        </w:rPr>
      </w:pPr>
    </w:p>
    <w:p w14:paraId="76FAD0C6">
      <w:pPr>
        <w:rPr>
          <w:bCs/>
          <w:highlight w:val="none"/>
        </w:rPr>
      </w:pPr>
    </w:p>
    <w:p w14:paraId="124A9C20">
      <w:pPr>
        <w:rPr>
          <w:bCs/>
          <w:highlight w:val="none"/>
        </w:rPr>
      </w:pPr>
    </w:p>
    <w:p w14:paraId="5D99468A">
      <w:pPr>
        <w:rPr>
          <w:bCs/>
          <w:highlight w:val="none"/>
        </w:rPr>
      </w:pPr>
    </w:p>
    <w:p w14:paraId="5410995B">
      <w:pPr>
        <w:rPr>
          <w:bCs/>
          <w:highlight w:val="none"/>
        </w:rPr>
      </w:pPr>
    </w:p>
    <w:p w14:paraId="4CDFC2F5">
      <w:pPr>
        <w:rPr>
          <w:bCs/>
          <w:highlight w:val="none"/>
        </w:rPr>
      </w:pPr>
    </w:p>
    <w:p w14:paraId="235DF34E">
      <w:pPr>
        <w:rPr>
          <w:bCs/>
          <w:highlight w:val="none"/>
        </w:rPr>
      </w:pPr>
    </w:p>
    <w:p w14:paraId="05625FFF">
      <w:pPr>
        <w:rPr>
          <w:bCs/>
          <w:highlight w:val="none"/>
        </w:rPr>
      </w:pPr>
    </w:p>
    <w:p w14:paraId="494F44D1">
      <w:pPr>
        <w:rPr>
          <w:bCs/>
          <w:highlight w:val="none"/>
        </w:rPr>
      </w:pPr>
    </w:p>
    <w:p w14:paraId="578FA4D1">
      <w:pPr>
        <w:rPr>
          <w:bCs/>
          <w:highlight w:val="none"/>
        </w:rPr>
      </w:pPr>
    </w:p>
    <w:p w14:paraId="30CCBB55">
      <w:pPr>
        <w:rPr>
          <w:bCs/>
          <w:highlight w:val="none"/>
        </w:rPr>
      </w:pPr>
    </w:p>
    <w:p w14:paraId="385B19FC">
      <w:pPr>
        <w:rPr>
          <w:bCs/>
          <w:highlight w:val="none"/>
        </w:rPr>
      </w:pPr>
    </w:p>
    <w:p w14:paraId="29663F04">
      <w:pPr>
        <w:rPr>
          <w:bCs/>
          <w:highlight w:val="none"/>
        </w:rPr>
      </w:pPr>
    </w:p>
    <w:p w14:paraId="6A142CBB">
      <w:pPr>
        <w:rPr>
          <w:bCs/>
          <w:highlight w:val="none"/>
        </w:rPr>
      </w:pPr>
    </w:p>
    <w:p w14:paraId="0ED17130">
      <w:pPr>
        <w:rPr>
          <w:bCs/>
          <w:highlight w:val="none"/>
        </w:rPr>
      </w:pPr>
    </w:p>
    <w:p w14:paraId="785CA173">
      <w:pPr>
        <w:rPr>
          <w:bCs/>
          <w:highlight w:val="none"/>
        </w:rPr>
      </w:pPr>
    </w:p>
    <w:p w14:paraId="3C4AB1F7">
      <w:pPr>
        <w:rPr>
          <w:bCs/>
          <w:highlight w:val="none"/>
        </w:rPr>
      </w:pPr>
    </w:p>
    <w:p w14:paraId="597A443E">
      <w:pPr>
        <w:rPr>
          <w:bCs/>
          <w:highlight w:val="none"/>
        </w:rPr>
      </w:pPr>
    </w:p>
    <w:p w14:paraId="7807EB6F">
      <w:pPr>
        <w:rPr>
          <w:bCs/>
          <w:highlight w:val="none"/>
        </w:rPr>
      </w:pPr>
    </w:p>
    <w:p w14:paraId="75843B8C">
      <w:pPr>
        <w:rPr>
          <w:bCs/>
          <w:highlight w:val="none"/>
        </w:rPr>
      </w:pPr>
    </w:p>
    <w:p w14:paraId="6969EC62">
      <w:pPr>
        <w:rPr>
          <w:bCs/>
          <w:highlight w:val="none"/>
        </w:rPr>
      </w:pPr>
    </w:p>
    <w:p w14:paraId="1B33142B">
      <w:pPr>
        <w:rPr>
          <w:bCs/>
          <w:highlight w:val="none"/>
        </w:rPr>
      </w:pPr>
    </w:p>
    <w:p w14:paraId="448CFF53">
      <w:pPr>
        <w:rPr>
          <w:bCs/>
          <w:highlight w:val="none"/>
        </w:rPr>
      </w:pPr>
    </w:p>
    <w:p w14:paraId="5FD3A215">
      <w:pPr>
        <w:rPr>
          <w:bCs/>
          <w:highlight w:val="none"/>
        </w:rPr>
      </w:pPr>
    </w:p>
    <w:p w14:paraId="4DA717D0">
      <w:pPr>
        <w:pStyle w:val="5"/>
        <w:adjustRightInd w:val="0"/>
        <w:snapToGrid w:val="0"/>
        <w:spacing w:beforeLines="50" w:after="0" w:line="400" w:lineRule="exact"/>
        <w:ind w:firstLine="280" w:firstLineChars="100"/>
        <w:jc w:val="center"/>
        <w:rPr>
          <w:rFonts w:hint="eastAsia" w:ascii="黑体" w:hAnsi="黑体"/>
          <w:sz w:val="28"/>
          <w:highlight w:val="none"/>
          <w:lang w:val="zh-CN"/>
        </w:rPr>
      </w:pPr>
      <w:r>
        <w:rPr>
          <w:rFonts w:hint="eastAsia" w:ascii="黑体" w:hAnsi="黑体"/>
          <w:sz w:val="28"/>
          <w:highlight w:val="none"/>
          <w:lang w:val="zh-CN"/>
        </w:rPr>
        <w:t>附录5资格审查条件（项目经理及项目总工最低要求）</w:t>
      </w:r>
    </w:p>
    <w:p w14:paraId="7F6DB92A">
      <w:pPr>
        <w:rPr>
          <w:bCs/>
          <w:highlight w:val="none"/>
          <w:lang w:val="zh-CN"/>
        </w:rPr>
      </w:pPr>
    </w:p>
    <w:p w14:paraId="3CDA906F">
      <w:pPr>
        <w:rPr>
          <w:bCs/>
          <w:highlight w:val="none"/>
          <w:lang w:val="zh-CN"/>
        </w:rPr>
      </w:pPr>
      <w:r>
        <w:rPr>
          <w:rFonts w:hint="eastAsia" w:ascii="黑体" w:hAnsi="黑体" w:eastAsia="黑体"/>
          <w:bCs/>
          <w:szCs w:val="21"/>
          <w:highlight w:val="none"/>
        </w:rPr>
        <w:t>YB26YH05标段：</w:t>
      </w:r>
    </w:p>
    <w:tbl>
      <w:tblPr>
        <w:tblStyle w:val="57"/>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536"/>
        <w:gridCol w:w="566"/>
        <w:gridCol w:w="8753"/>
      </w:tblGrid>
      <w:tr w14:paraId="43E1AF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272" w:type="pct"/>
            <w:vAlign w:val="center"/>
          </w:tcPr>
          <w:p w14:paraId="27E3CEB6">
            <w:pPr>
              <w:snapToGrid w:val="0"/>
              <w:spacing w:before="120" w:beforeLines="50" w:after="120" w:afterLines="50"/>
              <w:jc w:val="center"/>
              <w:rPr>
                <w:rFonts w:hint="eastAsia" w:ascii="宋体" w:hAnsi="宋体"/>
                <w:bCs/>
                <w:szCs w:val="21"/>
                <w:highlight w:val="none"/>
              </w:rPr>
            </w:pPr>
            <w:r>
              <w:rPr>
                <w:rFonts w:hint="eastAsia" w:ascii="宋体" w:hAnsi="宋体"/>
                <w:bCs/>
                <w:szCs w:val="21"/>
                <w:highlight w:val="none"/>
              </w:rPr>
              <w:t>人员</w:t>
            </w:r>
          </w:p>
        </w:tc>
        <w:tc>
          <w:tcPr>
            <w:tcW w:w="287" w:type="pct"/>
          </w:tcPr>
          <w:p w14:paraId="697DF488">
            <w:pPr>
              <w:snapToGrid w:val="0"/>
              <w:spacing w:before="120" w:beforeLines="50" w:after="120" w:afterLines="50"/>
              <w:jc w:val="center"/>
              <w:rPr>
                <w:rFonts w:hint="eastAsia" w:ascii="宋体" w:hAnsi="宋体"/>
                <w:bCs/>
                <w:szCs w:val="21"/>
                <w:highlight w:val="none"/>
              </w:rPr>
            </w:pPr>
            <w:r>
              <w:rPr>
                <w:rFonts w:hint="eastAsia" w:ascii="宋体" w:hAnsi="宋体"/>
                <w:bCs/>
                <w:szCs w:val="21"/>
                <w:highlight w:val="none"/>
              </w:rPr>
              <w:t xml:space="preserve">数量 </w:t>
            </w:r>
          </w:p>
        </w:tc>
        <w:tc>
          <w:tcPr>
            <w:tcW w:w="4441" w:type="pct"/>
            <w:vAlign w:val="center"/>
          </w:tcPr>
          <w:p w14:paraId="201AEC23">
            <w:pPr>
              <w:snapToGrid w:val="0"/>
              <w:spacing w:before="120" w:beforeLines="50" w:after="120" w:afterLines="50"/>
              <w:jc w:val="center"/>
              <w:rPr>
                <w:rFonts w:hint="eastAsia" w:ascii="宋体" w:hAnsi="宋体"/>
                <w:bCs/>
                <w:szCs w:val="21"/>
                <w:highlight w:val="none"/>
              </w:rPr>
            </w:pPr>
            <w:r>
              <w:rPr>
                <w:rFonts w:hint="eastAsia" w:ascii="宋体" w:hAnsi="宋体"/>
                <w:bCs/>
                <w:szCs w:val="21"/>
                <w:highlight w:val="none"/>
              </w:rPr>
              <w:t>资格要求</w:t>
            </w:r>
          </w:p>
        </w:tc>
      </w:tr>
      <w:tr w14:paraId="1AECE1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20" w:hRule="atLeast"/>
          <w:jc w:val="center"/>
        </w:trPr>
        <w:tc>
          <w:tcPr>
            <w:tcW w:w="272" w:type="pct"/>
            <w:vAlign w:val="center"/>
          </w:tcPr>
          <w:p w14:paraId="440F7D88">
            <w:pPr>
              <w:snapToGrid w:val="0"/>
              <w:jc w:val="center"/>
              <w:rPr>
                <w:rFonts w:hint="eastAsia" w:ascii="宋体" w:hAnsi="宋体"/>
                <w:bCs/>
                <w:szCs w:val="21"/>
                <w:highlight w:val="none"/>
              </w:rPr>
            </w:pPr>
            <w:r>
              <w:rPr>
                <w:rFonts w:hint="eastAsia" w:ascii="宋体" w:hAnsi="宋体"/>
                <w:bCs/>
                <w:szCs w:val="21"/>
                <w:highlight w:val="none"/>
              </w:rPr>
              <w:t>项目</w:t>
            </w:r>
          </w:p>
          <w:p w14:paraId="214FB2B5">
            <w:pPr>
              <w:snapToGrid w:val="0"/>
              <w:jc w:val="center"/>
              <w:rPr>
                <w:rFonts w:hint="eastAsia" w:ascii="宋体" w:hAnsi="宋体"/>
                <w:bCs/>
                <w:szCs w:val="21"/>
                <w:highlight w:val="none"/>
              </w:rPr>
            </w:pPr>
            <w:r>
              <w:rPr>
                <w:rFonts w:hint="eastAsia" w:ascii="宋体" w:hAnsi="宋体"/>
                <w:bCs/>
                <w:szCs w:val="21"/>
                <w:highlight w:val="none"/>
              </w:rPr>
              <w:t>经理</w:t>
            </w:r>
          </w:p>
        </w:tc>
        <w:tc>
          <w:tcPr>
            <w:tcW w:w="287" w:type="pct"/>
            <w:vAlign w:val="center"/>
          </w:tcPr>
          <w:p w14:paraId="09879D9A">
            <w:pPr>
              <w:adjustRightInd w:val="0"/>
              <w:snapToGrid w:val="0"/>
              <w:spacing w:line="360" w:lineRule="exact"/>
              <w:jc w:val="center"/>
              <w:rPr>
                <w:rFonts w:hint="eastAsia" w:ascii="宋体" w:hAnsi="宋体"/>
                <w:bCs/>
                <w:szCs w:val="21"/>
                <w:highlight w:val="none"/>
              </w:rPr>
            </w:pPr>
            <w:r>
              <w:rPr>
                <w:rFonts w:hint="eastAsia" w:ascii="宋体" w:hAnsi="宋体"/>
                <w:bCs/>
                <w:szCs w:val="21"/>
                <w:highlight w:val="none"/>
              </w:rPr>
              <w:t>1人</w:t>
            </w:r>
          </w:p>
        </w:tc>
        <w:tc>
          <w:tcPr>
            <w:tcW w:w="4441" w:type="pct"/>
            <w:vAlign w:val="center"/>
          </w:tcPr>
          <w:p w14:paraId="32B5DA3D">
            <w:pPr>
              <w:spacing w:line="360" w:lineRule="exact"/>
              <w:ind w:firstLine="420" w:firstLineChars="200"/>
              <w:rPr>
                <w:rFonts w:hint="eastAsia" w:ascii="宋体" w:hAnsi="宋体"/>
                <w:bCs/>
                <w:highlight w:val="none"/>
              </w:rPr>
            </w:pPr>
            <w:r>
              <w:rPr>
                <w:rFonts w:hint="eastAsia" w:ascii="宋体" w:hAnsi="宋体"/>
                <w:bCs/>
                <w:highlight w:val="none"/>
              </w:rPr>
              <w:fldChar w:fldCharType="begin"/>
            </w:r>
            <w:r>
              <w:rPr>
                <w:rFonts w:hint="eastAsia" w:ascii="宋体" w:hAnsi="宋体"/>
                <w:bCs/>
                <w:highlight w:val="none"/>
              </w:rPr>
              <w:instrText xml:space="preserve"> = 1 \* GB3 </w:instrText>
            </w:r>
            <w:r>
              <w:rPr>
                <w:rFonts w:hint="eastAsia" w:ascii="宋体" w:hAnsi="宋体"/>
                <w:bCs/>
                <w:highlight w:val="none"/>
              </w:rPr>
              <w:fldChar w:fldCharType="separate"/>
            </w:r>
            <w:r>
              <w:rPr>
                <w:rFonts w:hint="eastAsia" w:ascii="宋体" w:hAnsi="宋体"/>
                <w:bCs/>
                <w:highlight w:val="none"/>
              </w:rPr>
              <w:t>①</w:t>
            </w:r>
            <w:r>
              <w:rPr>
                <w:rFonts w:hint="eastAsia" w:ascii="宋体" w:hAnsi="宋体"/>
                <w:bCs/>
                <w:highlight w:val="none"/>
              </w:rPr>
              <w:fldChar w:fldCharType="end"/>
            </w:r>
            <w:r>
              <w:rPr>
                <w:rFonts w:hint="eastAsia" w:ascii="宋体" w:hAnsi="宋体"/>
                <w:bCs/>
                <w:highlight w:val="none"/>
              </w:rPr>
              <w:t>投标人自有人员</w:t>
            </w:r>
            <w:r>
              <w:rPr>
                <w:rFonts w:hint="eastAsia" w:ascii="宋体" w:hAnsi="宋体"/>
                <w:bCs/>
                <w:color w:val="000000"/>
                <w:szCs w:val="21"/>
                <w:highlight w:val="none"/>
              </w:rPr>
              <w:t>（以联合体形式参与投标的，则为联合体牵头人自有人员）；</w:t>
            </w:r>
          </w:p>
          <w:p w14:paraId="1E0A68E9">
            <w:pPr>
              <w:spacing w:line="360" w:lineRule="exact"/>
              <w:ind w:firstLine="420" w:firstLineChars="200"/>
              <w:rPr>
                <w:rFonts w:hint="eastAsia" w:ascii="宋体" w:hAnsi="宋体"/>
                <w:bCs/>
                <w:szCs w:val="21"/>
                <w:highlight w:val="none"/>
              </w:rPr>
            </w:pPr>
            <w:r>
              <w:rPr>
                <w:rFonts w:hint="eastAsia" w:ascii="宋体" w:hAnsi="宋体"/>
                <w:bCs/>
                <w:szCs w:val="21"/>
                <w:highlight w:val="none"/>
              </w:rPr>
              <w:fldChar w:fldCharType="begin"/>
            </w:r>
            <w:r>
              <w:rPr>
                <w:rFonts w:hint="eastAsia" w:ascii="宋体" w:hAnsi="宋体"/>
                <w:bCs/>
                <w:szCs w:val="21"/>
                <w:highlight w:val="none"/>
              </w:rPr>
              <w:instrText xml:space="preserve"> = 2 \* GB3 </w:instrText>
            </w:r>
            <w:r>
              <w:rPr>
                <w:rFonts w:hint="eastAsia" w:ascii="宋体" w:hAnsi="宋体"/>
                <w:bCs/>
                <w:szCs w:val="21"/>
                <w:highlight w:val="none"/>
              </w:rPr>
              <w:fldChar w:fldCharType="separate"/>
            </w:r>
            <w:r>
              <w:rPr>
                <w:rFonts w:hint="eastAsia" w:ascii="宋体" w:hAnsi="宋体"/>
                <w:bCs/>
                <w:szCs w:val="21"/>
                <w:highlight w:val="none"/>
              </w:rPr>
              <w:t>②</w:t>
            </w:r>
            <w:r>
              <w:rPr>
                <w:rFonts w:hint="eastAsia" w:ascii="宋体" w:hAnsi="宋体"/>
                <w:bCs/>
                <w:szCs w:val="21"/>
                <w:highlight w:val="none"/>
              </w:rPr>
              <w:fldChar w:fldCharType="end"/>
            </w:r>
            <w:r>
              <w:rPr>
                <w:rFonts w:hint="eastAsia" w:ascii="宋体" w:hAnsi="宋体"/>
                <w:bCs/>
                <w:highlight w:val="none"/>
              </w:rPr>
              <w:t>具有公路工程相关专业工程师职称</w:t>
            </w:r>
            <w:r>
              <w:rPr>
                <w:rFonts w:hint="eastAsia" w:ascii="宋体" w:hAnsi="宋体"/>
                <w:bCs/>
                <w:szCs w:val="21"/>
                <w:highlight w:val="none"/>
              </w:rPr>
              <w:t>；</w:t>
            </w:r>
          </w:p>
          <w:p w14:paraId="1067715D">
            <w:pPr>
              <w:spacing w:line="360" w:lineRule="exact"/>
              <w:ind w:firstLine="420" w:firstLineChars="200"/>
              <w:rPr>
                <w:rFonts w:hint="eastAsia" w:ascii="宋体" w:hAnsi="宋体"/>
                <w:bCs/>
                <w:highlight w:val="none"/>
              </w:rPr>
            </w:pPr>
            <w:r>
              <w:rPr>
                <w:rFonts w:hint="eastAsia" w:ascii="宋体" w:hAnsi="宋体"/>
                <w:bCs/>
                <w:highlight w:val="none"/>
              </w:rPr>
              <w:fldChar w:fldCharType="begin"/>
            </w:r>
            <w:r>
              <w:rPr>
                <w:rFonts w:hint="eastAsia" w:ascii="宋体" w:hAnsi="宋体"/>
                <w:bCs/>
                <w:highlight w:val="none"/>
              </w:rPr>
              <w:instrText xml:space="preserve"> = 3 \* GB3 </w:instrText>
            </w:r>
            <w:r>
              <w:rPr>
                <w:rFonts w:hint="eastAsia" w:ascii="宋体" w:hAnsi="宋体"/>
                <w:bCs/>
                <w:highlight w:val="none"/>
              </w:rPr>
              <w:fldChar w:fldCharType="separate"/>
            </w:r>
            <w:r>
              <w:rPr>
                <w:rFonts w:hint="eastAsia" w:ascii="宋体" w:hAnsi="宋体"/>
                <w:bCs/>
                <w:highlight w:val="none"/>
              </w:rPr>
              <w:t>③</w:t>
            </w:r>
            <w:r>
              <w:rPr>
                <w:rFonts w:hint="eastAsia" w:ascii="宋体" w:hAnsi="宋体"/>
                <w:bCs/>
                <w:highlight w:val="none"/>
              </w:rPr>
              <w:fldChar w:fldCharType="end"/>
            </w:r>
            <w:r>
              <w:rPr>
                <w:rFonts w:hint="eastAsia" w:ascii="宋体" w:hAnsi="宋体"/>
                <w:bCs/>
                <w:highlight w:val="none"/>
              </w:rPr>
              <w:t>具有建设行政主管部门颁发的</w:t>
            </w:r>
            <w:r>
              <w:rPr>
                <w:rFonts w:hint="eastAsia" w:ascii="黑体" w:hAnsi="黑体" w:eastAsia="黑体"/>
                <w:bCs/>
                <w:highlight w:val="none"/>
              </w:rPr>
              <w:t>“公路工程”专业</w:t>
            </w:r>
            <w:r>
              <w:rPr>
                <w:rFonts w:hint="eastAsia" w:ascii="黑体" w:hAnsi="黑体" w:eastAsia="黑体"/>
                <w:bCs/>
                <w:highlight w:val="none"/>
              </w:rPr>
              <w:t>《二级建造师注册证书》</w:t>
            </w:r>
            <w:r>
              <w:rPr>
                <w:rFonts w:hint="eastAsia" w:ascii="宋体" w:hAnsi="宋体"/>
                <w:bCs/>
                <w:highlight w:val="none"/>
              </w:rPr>
              <w:t>，且现注册单位为投标人；</w:t>
            </w:r>
          </w:p>
          <w:p w14:paraId="6C111D58">
            <w:pPr>
              <w:spacing w:line="360" w:lineRule="exact"/>
              <w:ind w:firstLine="420" w:firstLineChars="200"/>
              <w:rPr>
                <w:rFonts w:hint="eastAsia" w:ascii="宋体" w:hAnsi="宋体"/>
                <w:bCs/>
                <w:highlight w:val="none"/>
              </w:rPr>
            </w:pPr>
            <w:r>
              <w:rPr>
                <w:rFonts w:hint="eastAsia" w:ascii="宋体" w:hAnsi="宋体"/>
                <w:bCs/>
                <w:highlight w:val="none"/>
              </w:rPr>
              <w:fldChar w:fldCharType="begin"/>
            </w:r>
            <w:r>
              <w:rPr>
                <w:rFonts w:hint="eastAsia" w:ascii="宋体" w:hAnsi="宋体"/>
                <w:bCs/>
                <w:highlight w:val="none"/>
              </w:rPr>
              <w:instrText xml:space="preserve"> = 4 \* GB3 </w:instrText>
            </w:r>
            <w:r>
              <w:rPr>
                <w:rFonts w:hint="eastAsia" w:ascii="宋体" w:hAnsi="宋体"/>
                <w:bCs/>
                <w:highlight w:val="none"/>
              </w:rPr>
              <w:fldChar w:fldCharType="separate"/>
            </w:r>
            <w:r>
              <w:rPr>
                <w:rFonts w:hint="eastAsia" w:ascii="宋体" w:hAnsi="宋体"/>
                <w:bCs/>
                <w:highlight w:val="none"/>
              </w:rPr>
              <w:t>④</w:t>
            </w:r>
            <w:r>
              <w:rPr>
                <w:rFonts w:hint="eastAsia" w:ascii="宋体" w:hAnsi="宋体"/>
                <w:bCs/>
                <w:highlight w:val="none"/>
              </w:rPr>
              <w:fldChar w:fldCharType="end"/>
            </w:r>
            <w:r>
              <w:rPr>
                <w:rFonts w:ascii="宋体" w:hAnsi="宋体"/>
                <w:bCs/>
                <w:highlight w:val="none"/>
              </w:rPr>
              <w:t>具有</w:t>
            </w:r>
            <w:r>
              <w:rPr>
                <w:rFonts w:hint="eastAsia" w:ascii="宋体" w:hAnsi="宋体"/>
                <w:bCs/>
                <w:highlight w:val="none"/>
              </w:rPr>
              <w:t>交通运输主管部门</w:t>
            </w:r>
            <w:r>
              <w:rPr>
                <w:rFonts w:ascii="宋体" w:hAnsi="宋体"/>
                <w:bCs/>
                <w:highlight w:val="none"/>
              </w:rPr>
              <w:t>颁发的B 类《安全生产考核合格证书》</w:t>
            </w:r>
            <w:r>
              <w:rPr>
                <w:rFonts w:hint="eastAsia" w:ascii="宋体" w:hAnsi="宋体"/>
                <w:bCs/>
                <w:highlight w:val="none"/>
              </w:rPr>
              <w:t>；</w:t>
            </w:r>
          </w:p>
          <w:p w14:paraId="767C559A">
            <w:pPr>
              <w:spacing w:line="360" w:lineRule="exact"/>
              <w:ind w:firstLine="420" w:firstLineChars="200"/>
              <w:rPr>
                <w:rFonts w:hint="eastAsia" w:ascii="宋体" w:hAnsi="宋体"/>
                <w:bCs/>
                <w:color w:val="000000"/>
                <w:szCs w:val="21"/>
                <w:highlight w:val="none"/>
                <w:lang w:val="zh-CN"/>
              </w:rPr>
            </w:pPr>
            <w:r>
              <w:rPr>
                <w:rFonts w:hint="eastAsia" w:ascii="宋体" w:hAnsi="宋体"/>
                <w:bCs/>
                <w:highlight w:val="none"/>
              </w:rPr>
              <w:fldChar w:fldCharType="begin"/>
            </w:r>
            <w:r>
              <w:rPr>
                <w:rFonts w:hint="eastAsia" w:ascii="宋体" w:hAnsi="宋体"/>
                <w:bCs/>
                <w:highlight w:val="none"/>
              </w:rPr>
              <w:instrText xml:space="preserve"> = 5 \* GB3 </w:instrText>
            </w:r>
            <w:r>
              <w:rPr>
                <w:rFonts w:hint="eastAsia" w:ascii="宋体" w:hAnsi="宋体"/>
                <w:bCs/>
                <w:highlight w:val="none"/>
              </w:rPr>
              <w:fldChar w:fldCharType="separate"/>
            </w:r>
            <w:r>
              <w:rPr>
                <w:rFonts w:hint="eastAsia" w:ascii="宋体" w:hAnsi="宋体"/>
                <w:bCs/>
                <w:highlight w:val="none"/>
              </w:rPr>
              <w:t>⑤</w:t>
            </w:r>
            <w:r>
              <w:rPr>
                <w:rFonts w:hint="eastAsia" w:ascii="宋体" w:hAnsi="宋体"/>
                <w:bCs/>
                <w:highlight w:val="none"/>
              </w:rPr>
              <w:fldChar w:fldCharType="end"/>
            </w:r>
            <w:r>
              <w:rPr>
                <w:rFonts w:hint="eastAsia" w:ascii="宋体" w:hAnsi="宋体"/>
                <w:bCs/>
                <w:highlight w:val="none"/>
              </w:rPr>
              <w:t>无在岗项目(指目前未在其他项目上任职，或虽在其他项目上任职但本项目中标后能够从该项目撤离)。</w:t>
            </w:r>
          </w:p>
        </w:tc>
      </w:tr>
      <w:tr w14:paraId="273188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20" w:hRule="atLeast"/>
          <w:jc w:val="center"/>
        </w:trPr>
        <w:tc>
          <w:tcPr>
            <w:tcW w:w="272" w:type="pct"/>
            <w:vAlign w:val="center"/>
          </w:tcPr>
          <w:p w14:paraId="0C832737">
            <w:pPr>
              <w:snapToGrid w:val="0"/>
              <w:spacing w:line="360" w:lineRule="exact"/>
              <w:jc w:val="center"/>
              <w:rPr>
                <w:rFonts w:hint="eastAsia" w:ascii="宋体" w:hAnsi="宋体"/>
                <w:bCs/>
                <w:szCs w:val="21"/>
                <w:highlight w:val="none"/>
              </w:rPr>
            </w:pPr>
            <w:r>
              <w:rPr>
                <w:rFonts w:hint="eastAsia" w:ascii="宋体" w:hAnsi="宋体"/>
                <w:bCs/>
                <w:szCs w:val="21"/>
                <w:highlight w:val="none"/>
              </w:rPr>
              <w:t>项目</w:t>
            </w:r>
          </w:p>
          <w:p w14:paraId="1E841AE3">
            <w:pPr>
              <w:snapToGrid w:val="0"/>
              <w:jc w:val="center"/>
              <w:rPr>
                <w:rFonts w:hint="eastAsia" w:ascii="宋体" w:hAnsi="宋体"/>
                <w:bCs/>
                <w:szCs w:val="21"/>
                <w:highlight w:val="none"/>
              </w:rPr>
            </w:pPr>
            <w:r>
              <w:rPr>
                <w:rFonts w:hint="eastAsia" w:ascii="宋体" w:hAnsi="宋体"/>
                <w:bCs/>
                <w:szCs w:val="21"/>
                <w:highlight w:val="none"/>
              </w:rPr>
              <w:t>总工</w:t>
            </w:r>
          </w:p>
        </w:tc>
        <w:tc>
          <w:tcPr>
            <w:tcW w:w="287" w:type="pct"/>
            <w:vAlign w:val="center"/>
          </w:tcPr>
          <w:p w14:paraId="4D0828E4">
            <w:pPr>
              <w:adjustRightInd w:val="0"/>
              <w:snapToGrid w:val="0"/>
              <w:spacing w:line="360" w:lineRule="exact"/>
              <w:jc w:val="center"/>
              <w:rPr>
                <w:rFonts w:hint="eastAsia" w:ascii="宋体" w:hAnsi="宋体"/>
                <w:bCs/>
                <w:szCs w:val="21"/>
                <w:highlight w:val="none"/>
              </w:rPr>
            </w:pPr>
            <w:r>
              <w:rPr>
                <w:rFonts w:hint="eastAsia" w:ascii="宋体" w:hAnsi="宋体"/>
                <w:bCs/>
                <w:szCs w:val="21"/>
                <w:highlight w:val="none"/>
              </w:rPr>
              <w:t>1人</w:t>
            </w:r>
          </w:p>
        </w:tc>
        <w:tc>
          <w:tcPr>
            <w:tcW w:w="4441" w:type="pct"/>
            <w:vAlign w:val="center"/>
          </w:tcPr>
          <w:p w14:paraId="4D159608">
            <w:pPr>
              <w:spacing w:line="360" w:lineRule="exact"/>
              <w:ind w:firstLine="420" w:firstLineChars="200"/>
              <w:rPr>
                <w:rFonts w:hint="eastAsia" w:ascii="宋体" w:hAnsi="宋体"/>
                <w:bCs/>
                <w:highlight w:val="none"/>
              </w:rPr>
            </w:pPr>
            <w:r>
              <w:rPr>
                <w:rFonts w:hint="eastAsia"/>
                <w:bCs/>
                <w:highlight w:val="none"/>
              </w:rPr>
              <w:t>①</w:t>
            </w:r>
            <w:r>
              <w:rPr>
                <w:rFonts w:hint="eastAsia" w:ascii="宋体" w:hAnsi="宋体"/>
                <w:bCs/>
                <w:highlight w:val="none"/>
              </w:rPr>
              <w:t>投标人自有人员</w:t>
            </w:r>
            <w:r>
              <w:rPr>
                <w:rFonts w:hint="eastAsia" w:ascii="宋体" w:hAnsi="宋体"/>
                <w:bCs/>
                <w:color w:val="000000"/>
                <w:szCs w:val="21"/>
                <w:highlight w:val="none"/>
              </w:rPr>
              <w:t>（以联合体形式参与投标的，则为联合体牵头人自有人员）；</w:t>
            </w:r>
          </w:p>
          <w:p w14:paraId="50299DA0">
            <w:pPr>
              <w:spacing w:line="360" w:lineRule="exact"/>
              <w:ind w:firstLine="420" w:firstLineChars="200"/>
              <w:rPr>
                <w:rFonts w:hint="eastAsia" w:ascii="宋体" w:hAnsi="宋体"/>
                <w:bCs/>
                <w:highlight w:val="none"/>
              </w:rPr>
            </w:pPr>
            <w:r>
              <w:rPr>
                <w:rFonts w:hint="eastAsia"/>
                <w:bCs/>
                <w:szCs w:val="21"/>
                <w:highlight w:val="none"/>
              </w:rPr>
              <w:t>②</w:t>
            </w:r>
            <w:r>
              <w:rPr>
                <w:rFonts w:hint="eastAsia" w:ascii="宋体" w:hAnsi="宋体"/>
                <w:bCs/>
                <w:highlight w:val="none"/>
              </w:rPr>
              <w:t>具</w:t>
            </w:r>
            <w:r>
              <w:rPr>
                <w:rFonts w:hint="eastAsia" w:ascii="宋体" w:hAnsi="宋体"/>
                <w:bCs/>
                <w:highlight w:val="none"/>
              </w:rPr>
              <w:t>有公路工程相关专业工程师职称</w:t>
            </w:r>
            <w:r>
              <w:rPr>
                <w:rFonts w:hint="eastAsia" w:ascii="宋体" w:hAnsi="宋体"/>
                <w:bCs/>
                <w:highlight w:val="none"/>
              </w:rPr>
              <w:t>；</w:t>
            </w:r>
          </w:p>
          <w:p w14:paraId="6EC56E9E">
            <w:pPr>
              <w:spacing w:line="360" w:lineRule="exact"/>
              <w:ind w:firstLine="420" w:firstLineChars="200"/>
              <w:rPr>
                <w:rFonts w:hint="eastAsia" w:ascii="宋体" w:hAnsi="宋体"/>
                <w:bCs/>
                <w:highlight w:val="none"/>
              </w:rPr>
            </w:pPr>
            <w:r>
              <w:rPr>
                <w:rFonts w:hint="eastAsia"/>
                <w:bCs/>
                <w:highlight w:val="none"/>
                <w:lang w:val="zh-CN"/>
              </w:rPr>
              <w:t>③</w:t>
            </w:r>
            <w:r>
              <w:rPr>
                <w:rFonts w:hint="eastAsia" w:ascii="宋体" w:hAnsi="宋体"/>
                <w:bCs/>
                <w:highlight w:val="none"/>
              </w:rPr>
              <w:t>无在岗项目(指目前未在其他项目上任职，或虽在其他项目上任职但本项目中标后能够从该项目撤离)。</w:t>
            </w:r>
          </w:p>
        </w:tc>
      </w:tr>
    </w:tbl>
    <w:p w14:paraId="0A84FB99">
      <w:pPr>
        <w:spacing w:line="400" w:lineRule="exact"/>
        <w:ind w:firstLine="420" w:firstLineChars="200"/>
        <w:rPr>
          <w:rFonts w:hint="eastAsia" w:ascii="宋体" w:hAnsi="宋体"/>
          <w:bCs/>
          <w:highlight w:val="none"/>
        </w:rPr>
      </w:pPr>
    </w:p>
    <w:p w14:paraId="0FA72CB6">
      <w:pPr>
        <w:spacing w:line="360" w:lineRule="exact"/>
        <w:rPr>
          <w:rFonts w:hint="eastAsia" w:ascii="宋体" w:hAnsi="宋体"/>
          <w:bCs/>
          <w:highlight w:val="none"/>
        </w:rPr>
      </w:pPr>
      <w:r>
        <w:rPr>
          <w:rFonts w:hint="eastAsia" w:ascii="宋体" w:hAnsi="宋体"/>
          <w:bCs/>
          <w:highlight w:val="none"/>
        </w:rPr>
        <w:t>注：（1）项目经理和项目总工不得兼职。</w:t>
      </w:r>
    </w:p>
    <w:p w14:paraId="782B23C3">
      <w:pPr>
        <w:spacing w:line="360" w:lineRule="exact"/>
        <w:ind w:firstLine="420" w:firstLineChars="200"/>
        <w:rPr>
          <w:rFonts w:hint="eastAsia" w:ascii="宋体" w:hAnsi="宋体"/>
          <w:bCs/>
          <w:highlight w:val="none"/>
        </w:rPr>
      </w:pPr>
      <w:r>
        <w:rPr>
          <w:rFonts w:hint="eastAsia" w:ascii="宋体" w:hAnsi="宋体"/>
          <w:bCs/>
          <w:szCs w:val="21"/>
          <w:highlight w:val="none"/>
        </w:rPr>
        <w:t>（2）</w:t>
      </w:r>
      <w:r>
        <w:rPr>
          <w:rFonts w:hint="eastAsia" w:ascii="宋体" w:hAnsi="宋体"/>
          <w:bCs/>
          <w:highlight w:val="none"/>
        </w:rPr>
        <w:t>“投标人自有人员”指投标人为其申报社会保险登记，并为其缴纳社会保险费的人员。</w:t>
      </w:r>
      <w:r>
        <w:rPr>
          <w:rFonts w:hint="eastAsia" w:ascii="宋体" w:hAnsi="宋体"/>
          <w:bCs/>
          <w:highlight w:val="none"/>
          <w:lang w:val="zh-CN"/>
        </w:rPr>
        <w:t>如果投标人属事业法人单位，</w:t>
      </w:r>
      <w:bookmarkStart w:id="106" w:name="OLE_LINK6"/>
      <w:r>
        <w:rPr>
          <w:rFonts w:hint="eastAsia" w:ascii="宋体" w:hAnsi="宋体"/>
          <w:bCs/>
          <w:highlight w:val="none"/>
          <w:lang w:val="zh-CN"/>
        </w:rPr>
        <w:t>则由投标人的上级行政主管部门出具拟委任的项目经理（项目总工</w:t>
      </w:r>
      <w:r>
        <w:rPr>
          <w:rFonts w:ascii="宋体" w:hAnsi="宋体"/>
          <w:bCs/>
          <w:highlight w:val="none"/>
          <w:lang w:val="zh-CN"/>
        </w:rPr>
        <w:t>）</w:t>
      </w:r>
      <w:r>
        <w:rPr>
          <w:rFonts w:hint="eastAsia" w:ascii="宋体" w:hAnsi="宋体"/>
          <w:bCs/>
          <w:highlight w:val="none"/>
          <w:lang w:val="zh-CN"/>
        </w:rPr>
        <w:t>是投标人单位职工的有效书面证明材料。</w:t>
      </w:r>
      <w:bookmarkEnd w:id="106"/>
      <w:r>
        <w:rPr>
          <w:rFonts w:hint="eastAsia" w:ascii="宋体" w:hAnsi="宋体"/>
          <w:bCs/>
          <w:szCs w:val="21"/>
          <w:highlight w:val="none"/>
        </w:rPr>
        <w:t>如拟任职人员已退休，则“投标人自有人员”指现已退休，并由投标人聘用的人员。</w:t>
      </w:r>
    </w:p>
    <w:p w14:paraId="4A3927DA">
      <w:pPr>
        <w:spacing w:line="360" w:lineRule="exact"/>
        <w:ind w:firstLine="420" w:firstLineChars="200"/>
        <w:rPr>
          <w:rFonts w:hint="eastAsia" w:ascii="宋体" w:hAnsi="宋体"/>
          <w:bCs/>
          <w:highlight w:val="none"/>
        </w:rPr>
      </w:pPr>
      <w:r>
        <w:rPr>
          <w:rFonts w:hint="eastAsia" w:ascii="宋体" w:hAnsi="宋体"/>
          <w:bCs/>
          <w:highlight w:val="none"/>
        </w:rPr>
        <w:t>（3）</w:t>
      </w:r>
      <w:r>
        <w:rPr>
          <w:rFonts w:hint="eastAsia" w:ascii="宋体" w:hAnsi="宋体"/>
          <w:bCs/>
          <w:highlight w:val="none"/>
          <w:lang w:val="zh-CN"/>
        </w:rPr>
        <w:t>公路工程相关专业职称包括公路工程、桥梁工程、公路与桥梁工程、交通土建、隧道（地下结构）工程、交通工程、土木工程等专业职称。如职称证中无专业，则在投标文件中必须附毕业证书，且毕业证上的专业为公路工程、桥梁工程、公路与桥梁工程、交通土建、隧道（地下结构）工程、交通工程、土木工程等专业。</w:t>
      </w:r>
    </w:p>
    <w:p w14:paraId="7B0383CB">
      <w:pPr>
        <w:rPr>
          <w:rFonts w:hint="eastAsia" w:ascii="宋体" w:hAnsi="宋体"/>
          <w:bCs/>
          <w:highlight w:val="none"/>
        </w:rPr>
      </w:pPr>
    </w:p>
    <w:p w14:paraId="54FBE557">
      <w:pPr>
        <w:rPr>
          <w:rFonts w:hint="eastAsia" w:ascii="宋体" w:hAnsi="宋体"/>
          <w:bCs/>
          <w:highlight w:val="none"/>
        </w:rPr>
      </w:pPr>
    </w:p>
    <w:p w14:paraId="56BEDA37">
      <w:pPr>
        <w:rPr>
          <w:rFonts w:hint="eastAsia" w:ascii="宋体" w:hAnsi="宋体"/>
          <w:bCs/>
          <w:highlight w:val="none"/>
        </w:rPr>
      </w:pPr>
    </w:p>
    <w:p w14:paraId="3F3E0A1A">
      <w:pPr>
        <w:rPr>
          <w:rFonts w:hint="eastAsia" w:ascii="宋体" w:hAnsi="宋体"/>
          <w:bCs/>
          <w:highlight w:val="none"/>
        </w:rPr>
      </w:pPr>
    </w:p>
    <w:p w14:paraId="59C6E65C">
      <w:pPr>
        <w:rPr>
          <w:rFonts w:hint="eastAsia" w:ascii="宋体" w:hAnsi="宋体"/>
          <w:bCs/>
          <w:highlight w:val="none"/>
        </w:rPr>
      </w:pPr>
    </w:p>
    <w:p w14:paraId="590550F5">
      <w:pPr>
        <w:rPr>
          <w:rFonts w:hint="eastAsia" w:ascii="宋体" w:hAnsi="宋体"/>
          <w:bCs/>
          <w:highlight w:val="none"/>
        </w:rPr>
      </w:pPr>
    </w:p>
    <w:p w14:paraId="78232D44">
      <w:pPr>
        <w:rPr>
          <w:rFonts w:hint="eastAsia" w:ascii="宋体" w:hAnsi="宋体"/>
          <w:bCs/>
          <w:highlight w:val="none"/>
        </w:rPr>
      </w:pPr>
    </w:p>
    <w:p w14:paraId="40A4F146">
      <w:pPr>
        <w:rPr>
          <w:rFonts w:hint="eastAsia" w:ascii="宋体" w:hAnsi="宋体"/>
          <w:bCs/>
          <w:highlight w:val="none"/>
        </w:rPr>
      </w:pPr>
    </w:p>
    <w:p w14:paraId="3DE49404">
      <w:pPr>
        <w:rPr>
          <w:rFonts w:hint="eastAsia" w:ascii="宋体" w:hAnsi="宋体"/>
          <w:bCs/>
          <w:highlight w:val="none"/>
        </w:rPr>
      </w:pPr>
    </w:p>
    <w:p w14:paraId="35A63473">
      <w:pPr>
        <w:rPr>
          <w:rFonts w:hint="eastAsia" w:ascii="宋体" w:hAnsi="宋体"/>
          <w:bCs/>
          <w:highlight w:val="none"/>
        </w:rPr>
      </w:pPr>
    </w:p>
    <w:p w14:paraId="58D5CF9F">
      <w:pPr>
        <w:rPr>
          <w:rFonts w:hint="eastAsia" w:ascii="宋体" w:hAnsi="宋体"/>
          <w:bCs/>
          <w:highlight w:val="none"/>
        </w:rPr>
      </w:pPr>
    </w:p>
    <w:p w14:paraId="110F72E1">
      <w:pPr>
        <w:rPr>
          <w:rFonts w:hint="eastAsia" w:ascii="宋体" w:hAnsi="宋体"/>
          <w:bCs/>
          <w:highlight w:val="none"/>
        </w:rPr>
      </w:pPr>
    </w:p>
    <w:p w14:paraId="76E4FF6A">
      <w:pPr>
        <w:rPr>
          <w:rFonts w:hint="eastAsia" w:ascii="宋体" w:hAnsi="宋体"/>
          <w:bCs/>
          <w:highlight w:val="none"/>
        </w:rPr>
      </w:pPr>
    </w:p>
    <w:p w14:paraId="66EE638F">
      <w:pPr>
        <w:rPr>
          <w:rFonts w:hint="eastAsia" w:ascii="宋体" w:hAnsi="宋体"/>
          <w:bCs/>
          <w:highlight w:val="none"/>
        </w:rPr>
      </w:pPr>
    </w:p>
    <w:p w14:paraId="7784A8A3">
      <w:pPr>
        <w:rPr>
          <w:bCs/>
          <w:highlight w:val="none"/>
        </w:rPr>
      </w:pPr>
      <w:r>
        <w:rPr>
          <w:rFonts w:hint="eastAsia" w:ascii="黑体" w:hAnsi="黑体" w:eastAsia="黑体"/>
          <w:bCs/>
          <w:szCs w:val="21"/>
          <w:highlight w:val="none"/>
        </w:rPr>
        <w:t>YB26YH03标段、YB26YH04标段、YB26YH06标段、 YB26YH07标段、YB26YH08标段：</w:t>
      </w:r>
    </w:p>
    <w:tbl>
      <w:tblPr>
        <w:tblStyle w:val="57"/>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536"/>
        <w:gridCol w:w="566"/>
        <w:gridCol w:w="8753"/>
      </w:tblGrid>
      <w:tr w14:paraId="695345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272" w:type="pct"/>
            <w:vAlign w:val="center"/>
          </w:tcPr>
          <w:p w14:paraId="59AEFE83">
            <w:pPr>
              <w:snapToGrid w:val="0"/>
              <w:spacing w:before="120" w:beforeLines="50" w:after="120" w:afterLines="50"/>
              <w:jc w:val="center"/>
              <w:rPr>
                <w:rFonts w:hint="eastAsia" w:ascii="宋体" w:hAnsi="宋体"/>
                <w:bCs/>
                <w:szCs w:val="21"/>
                <w:highlight w:val="none"/>
              </w:rPr>
            </w:pPr>
            <w:bookmarkStart w:id="107" w:name="_Hlk189899429"/>
            <w:r>
              <w:rPr>
                <w:rFonts w:hint="eastAsia" w:ascii="宋体" w:hAnsi="宋体"/>
                <w:bCs/>
                <w:szCs w:val="21"/>
                <w:highlight w:val="none"/>
              </w:rPr>
              <w:t>人员</w:t>
            </w:r>
          </w:p>
        </w:tc>
        <w:tc>
          <w:tcPr>
            <w:tcW w:w="287" w:type="pct"/>
          </w:tcPr>
          <w:p w14:paraId="617D7759">
            <w:pPr>
              <w:snapToGrid w:val="0"/>
              <w:spacing w:before="120" w:beforeLines="50" w:after="120" w:afterLines="50"/>
              <w:jc w:val="center"/>
              <w:rPr>
                <w:rFonts w:hint="eastAsia" w:ascii="宋体" w:hAnsi="宋体"/>
                <w:bCs/>
                <w:szCs w:val="21"/>
                <w:highlight w:val="none"/>
              </w:rPr>
            </w:pPr>
            <w:r>
              <w:rPr>
                <w:rFonts w:hint="eastAsia" w:ascii="宋体" w:hAnsi="宋体"/>
                <w:bCs/>
                <w:szCs w:val="21"/>
                <w:highlight w:val="none"/>
              </w:rPr>
              <w:t xml:space="preserve">数量 </w:t>
            </w:r>
          </w:p>
        </w:tc>
        <w:tc>
          <w:tcPr>
            <w:tcW w:w="4441" w:type="pct"/>
            <w:vAlign w:val="center"/>
          </w:tcPr>
          <w:p w14:paraId="2966D703">
            <w:pPr>
              <w:snapToGrid w:val="0"/>
              <w:spacing w:before="120" w:beforeLines="50" w:after="120" w:afterLines="50"/>
              <w:jc w:val="center"/>
              <w:rPr>
                <w:rFonts w:hint="eastAsia" w:ascii="宋体" w:hAnsi="宋体"/>
                <w:bCs/>
                <w:szCs w:val="21"/>
                <w:highlight w:val="none"/>
              </w:rPr>
            </w:pPr>
            <w:r>
              <w:rPr>
                <w:rFonts w:hint="eastAsia" w:ascii="宋体" w:hAnsi="宋体"/>
                <w:bCs/>
                <w:szCs w:val="21"/>
                <w:highlight w:val="none"/>
              </w:rPr>
              <w:t>资格要求</w:t>
            </w:r>
          </w:p>
        </w:tc>
      </w:tr>
      <w:tr w14:paraId="512D01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01" w:hRule="atLeast"/>
          <w:jc w:val="center"/>
        </w:trPr>
        <w:tc>
          <w:tcPr>
            <w:tcW w:w="272" w:type="pct"/>
            <w:vAlign w:val="center"/>
          </w:tcPr>
          <w:p w14:paraId="3A99C2C1">
            <w:pPr>
              <w:snapToGrid w:val="0"/>
              <w:jc w:val="center"/>
              <w:rPr>
                <w:rFonts w:hint="eastAsia" w:ascii="宋体" w:hAnsi="宋体"/>
                <w:bCs/>
                <w:szCs w:val="21"/>
                <w:highlight w:val="none"/>
              </w:rPr>
            </w:pPr>
            <w:r>
              <w:rPr>
                <w:rFonts w:hint="eastAsia" w:ascii="宋体" w:hAnsi="宋体"/>
                <w:bCs/>
                <w:szCs w:val="21"/>
                <w:highlight w:val="none"/>
              </w:rPr>
              <w:t>项目</w:t>
            </w:r>
          </w:p>
          <w:p w14:paraId="37D12D25">
            <w:pPr>
              <w:snapToGrid w:val="0"/>
              <w:jc w:val="center"/>
              <w:rPr>
                <w:rFonts w:hint="eastAsia" w:ascii="宋体" w:hAnsi="宋体"/>
                <w:bCs/>
                <w:szCs w:val="21"/>
                <w:highlight w:val="none"/>
              </w:rPr>
            </w:pPr>
            <w:r>
              <w:rPr>
                <w:rFonts w:hint="eastAsia" w:ascii="宋体" w:hAnsi="宋体"/>
                <w:bCs/>
                <w:szCs w:val="21"/>
                <w:highlight w:val="none"/>
              </w:rPr>
              <w:t>经理</w:t>
            </w:r>
          </w:p>
        </w:tc>
        <w:tc>
          <w:tcPr>
            <w:tcW w:w="287" w:type="pct"/>
            <w:vAlign w:val="center"/>
          </w:tcPr>
          <w:p w14:paraId="4BFD49B1">
            <w:pPr>
              <w:adjustRightInd w:val="0"/>
              <w:snapToGrid w:val="0"/>
              <w:spacing w:line="360" w:lineRule="exact"/>
              <w:jc w:val="center"/>
              <w:rPr>
                <w:rFonts w:hint="eastAsia" w:ascii="宋体" w:hAnsi="宋体"/>
                <w:bCs/>
                <w:szCs w:val="21"/>
                <w:highlight w:val="none"/>
              </w:rPr>
            </w:pPr>
            <w:r>
              <w:rPr>
                <w:rFonts w:hint="eastAsia" w:ascii="宋体" w:hAnsi="宋体"/>
                <w:bCs/>
                <w:szCs w:val="21"/>
                <w:highlight w:val="none"/>
              </w:rPr>
              <w:t>1人</w:t>
            </w:r>
          </w:p>
        </w:tc>
        <w:tc>
          <w:tcPr>
            <w:tcW w:w="4441" w:type="pct"/>
            <w:vAlign w:val="center"/>
          </w:tcPr>
          <w:p w14:paraId="53933464">
            <w:pPr>
              <w:spacing w:line="360" w:lineRule="exact"/>
              <w:ind w:firstLine="420" w:firstLineChars="200"/>
              <w:rPr>
                <w:rFonts w:hint="eastAsia" w:ascii="宋体" w:hAnsi="宋体"/>
                <w:bCs/>
                <w:highlight w:val="none"/>
              </w:rPr>
            </w:pPr>
            <w:bookmarkStart w:id="108" w:name="_Hlk186123697"/>
            <w:r>
              <w:rPr>
                <w:rFonts w:hint="eastAsia" w:ascii="宋体" w:hAnsi="宋体"/>
                <w:bCs/>
                <w:highlight w:val="none"/>
              </w:rPr>
              <w:fldChar w:fldCharType="begin"/>
            </w:r>
            <w:r>
              <w:rPr>
                <w:rFonts w:hint="eastAsia" w:ascii="宋体" w:hAnsi="宋体"/>
                <w:bCs/>
                <w:highlight w:val="none"/>
              </w:rPr>
              <w:instrText xml:space="preserve"> = 1 \* GB3 </w:instrText>
            </w:r>
            <w:r>
              <w:rPr>
                <w:rFonts w:hint="eastAsia" w:ascii="宋体" w:hAnsi="宋体"/>
                <w:bCs/>
                <w:highlight w:val="none"/>
              </w:rPr>
              <w:fldChar w:fldCharType="separate"/>
            </w:r>
            <w:r>
              <w:rPr>
                <w:rFonts w:hint="eastAsia" w:ascii="宋体" w:hAnsi="宋体"/>
                <w:bCs/>
                <w:highlight w:val="none"/>
              </w:rPr>
              <w:t>①</w:t>
            </w:r>
            <w:r>
              <w:rPr>
                <w:rFonts w:hint="eastAsia" w:ascii="宋体" w:hAnsi="宋体"/>
                <w:bCs/>
                <w:highlight w:val="none"/>
              </w:rPr>
              <w:fldChar w:fldCharType="end"/>
            </w:r>
            <w:r>
              <w:rPr>
                <w:rFonts w:hint="eastAsia" w:ascii="宋体" w:hAnsi="宋体"/>
                <w:bCs/>
                <w:highlight w:val="none"/>
              </w:rPr>
              <w:t>投标人自有人员</w:t>
            </w:r>
            <w:r>
              <w:rPr>
                <w:rFonts w:hint="eastAsia" w:ascii="宋体" w:hAnsi="宋体"/>
                <w:bCs/>
                <w:color w:val="000000"/>
                <w:szCs w:val="21"/>
                <w:highlight w:val="none"/>
              </w:rPr>
              <w:t>（以联合体形式参与投标的，则为联合体牵头人自有人员）；</w:t>
            </w:r>
          </w:p>
          <w:p w14:paraId="514DBA9E">
            <w:pPr>
              <w:spacing w:line="360" w:lineRule="exact"/>
              <w:ind w:firstLine="420" w:firstLineChars="200"/>
              <w:rPr>
                <w:rFonts w:hint="eastAsia" w:ascii="宋体" w:hAnsi="宋体"/>
                <w:bCs/>
                <w:highlight w:val="none"/>
              </w:rPr>
            </w:pPr>
            <w:r>
              <w:rPr>
                <w:rFonts w:hint="eastAsia" w:ascii="宋体" w:hAnsi="宋体"/>
                <w:bCs/>
                <w:highlight w:val="none"/>
              </w:rPr>
              <w:fldChar w:fldCharType="begin"/>
            </w:r>
            <w:r>
              <w:rPr>
                <w:rFonts w:hint="eastAsia" w:ascii="宋体" w:hAnsi="宋体"/>
                <w:bCs/>
                <w:highlight w:val="none"/>
              </w:rPr>
              <w:instrText xml:space="preserve"> = 2 \* GB3 </w:instrText>
            </w:r>
            <w:r>
              <w:rPr>
                <w:rFonts w:hint="eastAsia" w:ascii="宋体" w:hAnsi="宋体"/>
                <w:bCs/>
                <w:highlight w:val="none"/>
              </w:rPr>
              <w:fldChar w:fldCharType="separate"/>
            </w:r>
            <w:r>
              <w:rPr>
                <w:rFonts w:hint="eastAsia" w:ascii="宋体" w:hAnsi="宋体"/>
                <w:bCs/>
                <w:highlight w:val="none"/>
              </w:rPr>
              <w:t>②</w:t>
            </w:r>
            <w:r>
              <w:rPr>
                <w:rFonts w:hint="eastAsia" w:ascii="宋体" w:hAnsi="宋体"/>
                <w:bCs/>
                <w:highlight w:val="none"/>
              </w:rPr>
              <w:fldChar w:fldCharType="end"/>
            </w:r>
            <w:r>
              <w:rPr>
                <w:rFonts w:hint="eastAsia" w:ascii="宋体" w:hAnsi="宋体"/>
                <w:bCs/>
                <w:highlight w:val="none"/>
              </w:rPr>
              <w:t>具有建设行政主管部门颁发的</w:t>
            </w:r>
            <w:r>
              <w:rPr>
                <w:rFonts w:hint="eastAsia" w:ascii="黑体" w:hAnsi="黑体" w:eastAsia="黑体"/>
                <w:bCs/>
                <w:highlight w:val="none"/>
              </w:rPr>
              <w:t>“公路工程”专业</w:t>
            </w:r>
            <w:r>
              <w:rPr>
                <w:rFonts w:hint="eastAsia" w:ascii="黑体" w:hAnsi="黑体" w:eastAsia="黑体"/>
                <w:bCs/>
                <w:highlight w:val="none"/>
              </w:rPr>
              <w:t>《一级建造师注册证书》</w:t>
            </w:r>
            <w:r>
              <w:rPr>
                <w:rFonts w:hint="eastAsia" w:ascii="宋体" w:hAnsi="宋体"/>
                <w:bCs/>
                <w:highlight w:val="none"/>
              </w:rPr>
              <w:t>，且现注册单位为投标人；</w:t>
            </w:r>
          </w:p>
          <w:p w14:paraId="64337E9B">
            <w:pPr>
              <w:spacing w:line="360" w:lineRule="exact"/>
              <w:ind w:firstLine="420" w:firstLineChars="200"/>
              <w:rPr>
                <w:rFonts w:hint="eastAsia" w:ascii="宋体" w:hAnsi="宋体"/>
                <w:bCs/>
                <w:highlight w:val="none"/>
              </w:rPr>
            </w:pPr>
            <w:r>
              <w:rPr>
                <w:rFonts w:hint="eastAsia" w:ascii="宋体" w:hAnsi="宋体"/>
                <w:bCs/>
                <w:highlight w:val="none"/>
              </w:rPr>
              <w:fldChar w:fldCharType="begin"/>
            </w:r>
            <w:r>
              <w:rPr>
                <w:rFonts w:hint="eastAsia" w:ascii="宋体" w:hAnsi="宋体"/>
                <w:bCs/>
                <w:highlight w:val="none"/>
              </w:rPr>
              <w:instrText xml:space="preserve"> = 3 \* GB3 </w:instrText>
            </w:r>
            <w:r>
              <w:rPr>
                <w:rFonts w:hint="eastAsia" w:ascii="宋体" w:hAnsi="宋体"/>
                <w:bCs/>
                <w:highlight w:val="none"/>
              </w:rPr>
              <w:fldChar w:fldCharType="separate"/>
            </w:r>
            <w:r>
              <w:rPr>
                <w:rFonts w:hint="eastAsia" w:ascii="宋体" w:hAnsi="宋体"/>
                <w:bCs/>
                <w:highlight w:val="none"/>
              </w:rPr>
              <w:t>③</w:t>
            </w:r>
            <w:r>
              <w:rPr>
                <w:rFonts w:hint="eastAsia" w:ascii="宋体" w:hAnsi="宋体"/>
                <w:bCs/>
                <w:highlight w:val="none"/>
              </w:rPr>
              <w:fldChar w:fldCharType="end"/>
            </w:r>
            <w:r>
              <w:rPr>
                <w:rFonts w:ascii="宋体" w:hAnsi="宋体"/>
                <w:bCs/>
                <w:highlight w:val="none"/>
              </w:rPr>
              <w:t>具有</w:t>
            </w:r>
            <w:r>
              <w:rPr>
                <w:rFonts w:hint="eastAsia" w:ascii="宋体" w:hAnsi="宋体"/>
                <w:bCs/>
                <w:highlight w:val="none"/>
              </w:rPr>
              <w:t>交通运输主管部门</w:t>
            </w:r>
            <w:r>
              <w:rPr>
                <w:rFonts w:ascii="宋体" w:hAnsi="宋体"/>
                <w:bCs/>
                <w:highlight w:val="none"/>
              </w:rPr>
              <w:t>颁发的B 类《安全生产考核合格证书》</w:t>
            </w:r>
            <w:r>
              <w:rPr>
                <w:rFonts w:hint="eastAsia" w:ascii="宋体" w:hAnsi="宋体"/>
                <w:bCs/>
                <w:highlight w:val="none"/>
              </w:rPr>
              <w:t>；</w:t>
            </w:r>
          </w:p>
          <w:bookmarkEnd w:id="108"/>
          <w:p w14:paraId="7D416783">
            <w:pPr>
              <w:spacing w:line="360" w:lineRule="exact"/>
              <w:ind w:firstLine="420" w:firstLineChars="200"/>
              <w:rPr>
                <w:rFonts w:hint="eastAsia" w:ascii="宋体" w:hAnsi="宋体"/>
                <w:bCs/>
                <w:color w:val="000000"/>
                <w:szCs w:val="21"/>
                <w:highlight w:val="none"/>
                <w:lang w:val="zh-CN"/>
              </w:rPr>
            </w:pPr>
            <w:r>
              <w:rPr>
                <w:rFonts w:hint="eastAsia" w:ascii="宋体" w:hAnsi="宋体"/>
                <w:bCs/>
                <w:highlight w:val="none"/>
              </w:rPr>
              <w:fldChar w:fldCharType="begin"/>
            </w:r>
            <w:r>
              <w:rPr>
                <w:rFonts w:hint="eastAsia" w:ascii="宋体" w:hAnsi="宋体"/>
                <w:bCs/>
                <w:highlight w:val="none"/>
              </w:rPr>
              <w:instrText xml:space="preserve"> = 4 \* GB3 </w:instrText>
            </w:r>
            <w:r>
              <w:rPr>
                <w:rFonts w:hint="eastAsia" w:ascii="宋体" w:hAnsi="宋体"/>
                <w:bCs/>
                <w:highlight w:val="none"/>
              </w:rPr>
              <w:fldChar w:fldCharType="separate"/>
            </w:r>
            <w:r>
              <w:rPr>
                <w:rFonts w:hint="eastAsia" w:ascii="宋体" w:hAnsi="宋体"/>
                <w:bCs/>
                <w:highlight w:val="none"/>
              </w:rPr>
              <w:t>④</w:t>
            </w:r>
            <w:r>
              <w:rPr>
                <w:rFonts w:hint="eastAsia" w:ascii="宋体" w:hAnsi="宋体"/>
                <w:bCs/>
                <w:highlight w:val="none"/>
              </w:rPr>
              <w:fldChar w:fldCharType="end"/>
            </w:r>
            <w:r>
              <w:rPr>
                <w:rFonts w:hint="eastAsia" w:ascii="宋体" w:hAnsi="宋体"/>
                <w:bCs/>
                <w:highlight w:val="none"/>
              </w:rPr>
              <w:t>无在岗项目(指目前未在其他项目上任职，或虽在其他项目上任职但本项目中标后能够从该项目撤离)。</w:t>
            </w:r>
          </w:p>
        </w:tc>
      </w:tr>
      <w:tr w14:paraId="0C8F5B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01" w:hRule="atLeast"/>
          <w:jc w:val="center"/>
        </w:trPr>
        <w:tc>
          <w:tcPr>
            <w:tcW w:w="272" w:type="pct"/>
            <w:vAlign w:val="center"/>
          </w:tcPr>
          <w:p w14:paraId="5F72C3FC">
            <w:pPr>
              <w:snapToGrid w:val="0"/>
              <w:spacing w:line="360" w:lineRule="exact"/>
              <w:jc w:val="center"/>
              <w:rPr>
                <w:rFonts w:hint="eastAsia" w:ascii="宋体" w:hAnsi="宋体"/>
                <w:bCs/>
                <w:szCs w:val="21"/>
                <w:highlight w:val="none"/>
              </w:rPr>
            </w:pPr>
            <w:r>
              <w:rPr>
                <w:rFonts w:hint="eastAsia" w:ascii="宋体" w:hAnsi="宋体"/>
                <w:bCs/>
                <w:szCs w:val="21"/>
                <w:highlight w:val="none"/>
              </w:rPr>
              <w:t>项目</w:t>
            </w:r>
          </w:p>
          <w:p w14:paraId="6BFEF33B">
            <w:pPr>
              <w:snapToGrid w:val="0"/>
              <w:jc w:val="center"/>
              <w:rPr>
                <w:rFonts w:hint="eastAsia" w:ascii="宋体" w:hAnsi="宋体"/>
                <w:bCs/>
                <w:szCs w:val="21"/>
                <w:highlight w:val="none"/>
              </w:rPr>
            </w:pPr>
            <w:r>
              <w:rPr>
                <w:rFonts w:hint="eastAsia" w:ascii="宋体" w:hAnsi="宋体"/>
                <w:bCs/>
                <w:szCs w:val="21"/>
                <w:highlight w:val="none"/>
              </w:rPr>
              <w:t>总工</w:t>
            </w:r>
          </w:p>
        </w:tc>
        <w:tc>
          <w:tcPr>
            <w:tcW w:w="287" w:type="pct"/>
            <w:vAlign w:val="center"/>
          </w:tcPr>
          <w:p w14:paraId="2EC60503">
            <w:pPr>
              <w:adjustRightInd w:val="0"/>
              <w:snapToGrid w:val="0"/>
              <w:spacing w:line="360" w:lineRule="exact"/>
              <w:jc w:val="center"/>
              <w:rPr>
                <w:rFonts w:hint="eastAsia" w:ascii="宋体" w:hAnsi="宋体"/>
                <w:bCs/>
                <w:szCs w:val="21"/>
                <w:highlight w:val="none"/>
              </w:rPr>
            </w:pPr>
            <w:r>
              <w:rPr>
                <w:rFonts w:hint="eastAsia" w:ascii="宋体" w:hAnsi="宋体"/>
                <w:bCs/>
                <w:szCs w:val="21"/>
                <w:highlight w:val="none"/>
              </w:rPr>
              <w:t>1人</w:t>
            </w:r>
          </w:p>
        </w:tc>
        <w:tc>
          <w:tcPr>
            <w:tcW w:w="4441" w:type="pct"/>
            <w:vAlign w:val="center"/>
          </w:tcPr>
          <w:p w14:paraId="3A4B0240">
            <w:pPr>
              <w:spacing w:line="360" w:lineRule="exact"/>
              <w:ind w:firstLine="420" w:firstLineChars="200"/>
              <w:rPr>
                <w:rFonts w:hint="eastAsia" w:ascii="宋体" w:hAnsi="宋体"/>
                <w:bCs/>
                <w:highlight w:val="none"/>
              </w:rPr>
            </w:pPr>
            <w:r>
              <w:rPr>
                <w:rFonts w:hint="eastAsia"/>
                <w:bCs/>
                <w:highlight w:val="none"/>
              </w:rPr>
              <w:t>①</w:t>
            </w:r>
            <w:r>
              <w:rPr>
                <w:rFonts w:hint="eastAsia" w:ascii="宋体" w:hAnsi="宋体"/>
                <w:bCs/>
                <w:highlight w:val="none"/>
              </w:rPr>
              <w:t>投标人自有人员</w:t>
            </w:r>
            <w:r>
              <w:rPr>
                <w:rFonts w:hint="eastAsia" w:ascii="宋体" w:hAnsi="宋体"/>
                <w:bCs/>
                <w:color w:val="000000"/>
                <w:szCs w:val="21"/>
                <w:highlight w:val="none"/>
              </w:rPr>
              <w:t>（以联合体形式参与投标的，则为联合体牵头人自有人员）；</w:t>
            </w:r>
          </w:p>
          <w:p w14:paraId="6AA2343A">
            <w:pPr>
              <w:spacing w:line="360" w:lineRule="exact"/>
              <w:ind w:firstLine="420" w:firstLineChars="200"/>
              <w:rPr>
                <w:rFonts w:hint="eastAsia" w:ascii="宋体" w:hAnsi="宋体"/>
                <w:bCs/>
                <w:highlight w:val="none"/>
              </w:rPr>
            </w:pPr>
            <w:r>
              <w:rPr>
                <w:rFonts w:hint="eastAsia"/>
                <w:bCs/>
                <w:szCs w:val="21"/>
                <w:highlight w:val="none"/>
              </w:rPr>
              <w:t>②</w:t>
            </w:r>
            <w:r>
              <w:rPr>
                <w:rFonts w:hint="eastAsia" w:ascii="宋体" w:hAnsi="宋体"/>
                <w:bCs/>
                <w:highlight w:val="none"/>
              </w:rPr>
              <w:t>具</w:t>
            </w:r>
            <w:r>
              <w:rPr>
                <w:rFonts w:hint="eastAsia" w:ascii="宋体" w:hAnsi="宋体"/>
                <w:bCs/>
                <w:highlight w:val="none"/>
              </w:rPr>
              <w:t>有公路工程相关专业工程师职称</w:t>
            </w:r>
            <w:r>
              <w:rPr>
                <w:rFonts w:hint="eastAsia" w:ascii="宋体" w:hAnsi="宋体"/>
                <w:bCs/>
                <w:highlight w:val="none"/>
              </w:rPr>
              <w:t>；</w:t>
            </w:r>
          </w:p>
          <w:p w14:paraId="6BBA933F">
            <w:pPr>
              <w:spacing w:line="360" w:lineRule="exact"/>
              <w:ind w:firstLine="420" w:firstLineChars="200"/>
              <w:rPr>
                <w:rFonts w:hint="eastAsia" w:ascii="宋体" w:hAnsi="宋体"/>
                <w:bCs/>
                <w:highlight w:val="none"/>
              </w:rPr>
            </w:pPr>
            <w:r>
              <w:rPr>
                <w:rFonts w:hint="eastAsia"/>
                <w:bCs/>
                <w:highlight w:val="none"/>
                <w:lang w:val="zh-CN"/>
              </w:rPr>
              <w:t>③</w:t>
            </w:r>
            <w:r>
              <w:rPr>
                <w:rFonts w:hint="eastAsia" w:ascii="宋体" w:hAnsi="宋体"/>
                <w:bCs/>
                <w:highlight w:val="none"/>
              </w:rPr>
              <w:t>无在岗项目(指目前未在其他项目上任职，或虽在其他项目上任职但本项目中标后能够从该项目撤离)。</w:t>
            </w:r>
          </w:p>
          <w:p w14:paraId="7DBB1130">
            <w:pPr>
              <w:spacing w:line="360" w:lineRule="exact"/>
              <w:ind w:firstLine="420" w:firstLineChars="200"/>
              <w:rPr>
                <w:rFonts w:hint="eastAsia" w:ascii="宋体" w:hAnsi="宋体"/>
                <w:bCs/>
                <w:highlight w:val="none"/>
              </w:rPr>
            </w:pPr>
          </w:p>
        </w:tc>
      </w:tr>
      <w:bookmarkEnd w:id="107"/>
    </w:tbl>
    <w:p w14:paraId="46AFCC52">
      <w:pPr>
        <w:rPr>
          <w:rFonts w:hint="eastAsia" w:ascii="宋体" w:hAnsi="宋体"/>
          <w:bCs/>
          <w:highlight w:val="none"/>
        </w:rPr>
      </w:pPr>
    </w:p>
    <w:p w14:paraId="28C01FA5">
      <w:pPr>
        <w:spacing w:line="360" w:lineRule="exact"/>
        <w:rPr>
          <w:rFonts w:hint="eastAsia" w:ascii="宋体" w:hAnsi="宋体"/>
          <w:bCs/>
          <w:highlight w:val="none"/>
        </w:rPr>
      </w:pPr>
      <w:r>
        <w:rPr>
          <w:rFonts w:hint="eastAsia" w:ascii="宋体" w:hAnsi="宋体"/>
          <w:bCs/>
          <w:highlight w:val="none"/>
        </w:rPr>
        <w:t>注：（1）项目经理和项目总工不得兼职。</w:t>
      </w:r>
    </w:p>
    <w:p w14:paraId="6D8AD3B5">
      <w:pPr>
        <w:spacing w:line="360" w:lineRule="exact"/>
        <w:ind w:firstLine="420" w:firstLineChars="200"/>
        <w:rPr>
          <w:rFonts w:hint="eastAsia" w:ascii="宋体" w:hAnsi="宋体"/>
          <w:bCs/>
          <w:highlight w:val="none"/>
        </w:rPr>
      </w:pPr>
      <w:r>
        <w:rPr>
          <w:rFonts w:hint="eastAsia" w:ascii="宋体" w:hAnsi="宋体"/>
          <w:bCs/>
          <w:szCs w:val="21"/>
          <w:highlight w:val="none"/>
        </w:rPr>
        <w:t>（2）</w:t>
      </w:r>
      <w:r>
        <w:rPr>
          <w:rFonts w:hint="eastAsia" w:ascii="宋体" w:hAnsi="宋体"/>
          <w:bCs/>
          <w:highlight w:val="none"/>
        </w:rPr>
        <w:t>“投标人自有人员”指投标人为其申报社会保险登记，并为其缴纳社会保险费的人员。</w:t>
      </w:r>
      <w:r>
        <w:rPr>
          <w:rFonts w:hint="eastAsia" w:ascii="宋体" w:hAnsi="宋体"/>
          <w:bCs/>
          <w:highlight w:val="none"/>
          <w:lang w:val="zh-CN"/>
        </w:rPr>
        <w:t>如果投标人属事业法人单位，则由投标人的上级行政主管部门出具拟委任的项目经理（项目总工</w:t>
      </w:r>
      <w:r>
        <w:rPr>
          <w:rFonts w:ascii="宋体" w:hAnsi="宋体"/>
          <w:bCs/>
          <w:highlight w:val="none"/>
          <w:lang w:val="zh-CN"/>
        </w:rPr>
        <w:t>）</w:t>
      </w:r>
      <w:r>
        <w:rPr>
          <w:rFonts w:hint="eastAsia" w:ascii="宋体" w:hAnsi="宋体"/>
          <w:bCs/>
          <w:highlight w:val="none"/>
          <w:lang w:val="zh-CN"/>
        </w:rPr>
        <w:t>是投标人单位职工的有效书面证明材料。</w:t>
      </w:r>
      <w:r>
        <w:rPr>
          <w:rFonts w:hint="eastAsia" w:ascii="宋体" w:hAnsi="宋体"/>
          <w:bCs/>
          <w:szCs w:val="21"/>
          <w:highlight w:val="none"/>
        </w:rPr>
        <w:t>如拟任职人员已退休，则“投标人自有人员”指现已退休，并由投标人聘用的人员。</w:t>
      </w:r>
    </w:p>
    <w:p w14:paraId="01E8ADA2">
      <w:pPr>
        <w:spacing w:line="360" w:lineRule="exact"/>
        <w:ind w:firstLine="420" w:firstLineChars="200"/>
        <w:rPr>
          <w:rFonts w:hint="eastAsia" w:ascii="宋体" w:hAnsi="宋体"/>
          <w:bCs/>
          <w:highlight w:val="none"/>
        </w:rPr>
      </w:pPr>
      <w:r>
        <w:rPr>
          <w:rFonts w:hint="eastAsia" w:ascii="宋体" w:hAnsi="宋体"/>
          <w:bCs/>
          <w:highlight w:val="none"/>
        </w:rPr>
        <w:t>（3）</w:t>
      </w:r>
      <w:r>
        <w:rPr>
          <w:rFonts w:hint="eastAsia" w:ascii="宋体" w:hAnsi="宋体"/>
          <w:bCs/>
          <w:highlight w:val="none"/>
          <w:lang w:val="zh-CN"/>
        </w:rPr>
        <w:t>公路工程相关专业职称包括公路工程、桥梁工程、公路与桥梁工程、交通土建、隧道（地下结构）工程、交通工程、土木工程等专业职称。如职称证中无专业，则在投标文件中必须附毕业证书，且毕业证上的专业为公路工程、桥梁工程、公路与桥梁工程、交通土建、隧道（地下结构）工程、交通工程、土木工程等专业。</w:t>
      </w:r>
    </w:p>
    <w:p w14:paraId="02A667D2">
      <w:pPr>
        <w:spacing w:line="300" w:lineRule="exact"/>
        <w:rPr>
          <w:bCs/>
          <w:highlight w:val="none"/>
        </w:rPr>
      </w:pPr>
    </w:p>
    <w:p w14:paraId="25DB4C37">
      <w:pPr>
        <w:spacing w:line="300" w:lineRule="exact"/>
        <w:rPr>
          <w:bCs/>
          <w:highlight w:val="none"/>
        </w:rPr>
      </w:pPr>
    </w:p>
    <w:p w14:paraId="66C11A03">
      <w:pPr>
        <w:spacing w:line="300" w:lineRule="exact"/>
        <w:rPr>
          <w:bCs/>
          <w:highlight w:val="none"/>
        </w:rPr>
      </w:pPr>
    </w:p>
    <w:p w14:paraId="0F07E083">
      <w:pPr>
        <w:spacing w:line="300" w:lineRule="exact"/>
        <w:rPr>
          <w:bCs/>
          <w:highlight w:val="none"/>
        </w:rPr>
      </w:pPr>
    </w:p>
    <w:p w14:paraId="00515AF9">
      <w:pPr>
        <w:spacing w:line="300" w:lineRule="exact"/>
        <w:rPr>
          <w:bCs/>
          <w:highlight w:val="none"/>
        </w:rPr>
      </w:pPr>
    </w:p>
    <w:p w14:paraId="5835E02F">
      <w:pPr>
        <w:spacing w:line="300" w:lineRule="exact"/>
        <w:rPr>
          <w:bCs/>
          <w:highlight w:val="none"/>
        </w:rPr>
      </w:pPr>
    </w:p>
    <w:p w14:paraId="0D00016B">
      <w:pPr>
        <w:spacing w:line="300" w:lineRule="exact"/>
        <w:rPr>
          <w:bCs/>
          <w:highlight w:val="none"/>
        </w:rPr>
      </w:pPr>
    </w:p>
    <w:p w14:paraId="2CA36358">
      <w:pPr>
        <w:spacing w:line="300" w:lineRule="exact"/>
        <w:rPr>
          <w:bCs/>
          <w:highlight w:val="none"/>
        </w:rPr>
      </w:pPr>
    </w:p>
    <w:p w14:paraId="5CC67304">
      <w:pPr>
        <w:spacing w:line="300" w:lineRule="exact"/>
        <w:rPr>
          <w:bCs/>
          <w:highlight w:val="none"/>
        </w:rPr>
      </w:pPr>
    </w:p>
    <w:p w14:paraId="1739D01C">
      <w:pPr>
        <w:spacing w:line="300" w:lineRule="exact"/>
        <w:rPr>
          <w:bCs/>
          <w:highlight w:val="none"/>
        </w:rPr>
      </w:pPr>
    </w:p>
    <w:p w14:paraId="0D5DB16E">
      <w:pPr>
        <w:spacing w:line="300" w:lineRule="exact"/>
        <w:rPr>
          <w:bCs/>
          <w:highlight w:val="none"/>
        </w:rPr>
      </w:pPr>
    </w:p>
    <w:p w14:paraId="200D3501">
      <w:pPr>
        <w:rPr>
          <w:rFonts w:hint="eastAsia" w:ascii="黑体" w:hAnsi="黑体" w:eastAsia="黑体"/>
          <w:bCs/>
          <w:szCs w:val="21"/>
          <w:highlight w:val="none"/>
        </w:rPr>
      </w:pPr>
    </w:p>
    <w:bookmarkEnd w:id="100"/>
    <w:p w14:paraId="2FE4AECD">
      <w:pPr>
        <w:pStyle w:val="27"/>
        <w:ind w:left="1260" w:hanging="420"/>
        <w:rPr>
          <w:bCs/>
          <w:highlight w:val="none"/>
          <w:lang w:val="zh-CN"/>
        </w:rPr>
      </w:pPr>
    </w:p>
    <w:p w14:paraId="335EEDF1">
      <w:pPr>
        <w:pStyle w:val="27"/>
        <w:ind w:left="1260" w:hanging="420"/>
        <w:rPr>
          <w:bCs/>
          <w:highlight w:val="none"/>
          <w:lang w:val="zh-CN"/>
        </w:rPr>
      </w:pPr>
    </w:p>
    <w:bookmarkEnd w:id="101"/>
    <w:bookmarkEnd w:id="102"/>
    <w:p w14:paraId="257E5664">
      <w:pPr>
        <w:pStyle w:val="27"/>
        <w:ind w:left="1260" w:hanging="420"/>
        <w:rPr>
          <w:bCs/>
          <w:highlight w:val="none"/>
          <w:lang w:val="zh-CN"/>
        </w:rPr>
      </w:pPr>
    </w:p>
    <w:bookmarkEnd w:id="92"/>
    <w:bookmarkEnd w:id="93"/>
    <w:bookmarkEnd w:id="94"/>
    <w:bookmarkEnd w:id="95"/>
    <w:bookmarkEnd w:id="96"/>
    <w:bookmarkEnd w:id="97"/>
    <w:bookmarkEnd w:id="98"/>
    <w:bookmarkEnd w:id="99"/>
    <w:bookmarkEnd w:id="103"/>
    <w:bookmarkEnd w:id="105"/>
    <w:p w14:paraId="2C3ADC2A">
      <w:pPr>
        <w:pStyle w:val="4"/>
        <w:adjustRightInd w:val="0"/>
        <w:snapToGrid w:val="0"/>
        <w:spacing w:before="240" w:beforeLines="100" w:after="0" w:line="240" w:lineRule="auto"/>
        <w:rPr>
          <w:rFonts w:hint="eastAsia" w:ascii="宋体" w:hAnsi="宋体"/>
          <w:b w:val="0"/>
          <w:highlight w:val="none"/>
        </w:rPr>
      </w:pPr>
      <w:bookmarkStart w:id="109" w:name="_Toc228263846"/>
      <w:bookmarkStart w:id="110" w:name="_Toc197950805"/>
      <w:bookmarkStart w:id="111" w:name="_Toc197951590"/>
      <w:bookmarkStart w:id="112" w:name="_Toc197960547"/>
      <w:bookmarkStart w:id="113" w:name="_Toc197967273"/>
      <w:bookmarkStart w:id="114" w:name="_Toc197967127"/>
      <w:bookmarkStart w:id="115" w:name="_Toc197960495"/>
      <w:bookmarkStart w:id="116" w:name="_Toc197951556"/>
      <w:bookmarkStart w:id="117" w:name="_Toc197965611"/>
      <w:bookmarkStart w:id="118" w:name="_Toc258182506"/>
      <w:bookmarkStart w:id="119" w:name="_Toc197950684"/>
      <w:bookmarkStart w:id="120" w:name="_Toc355768878"/>
      <w:r>
        <w:rPr>
          <w:rFonts w:hint="eastAsia" w:ascii="黑体" w:hAnsi="黑体" w:eastAsia="黑体"/>
          <w:b w:val="0"/>
          <w:sz w:val="24"/>
          <w:szCs w:val="24"/>
          <w:highlight w:val="none"/>
          <w:lang w:val="en-US" w:eastAsia="zh-CN"/>
        </w:rPr>
        <w:t>10.</w:t>
      </w:r>
      <w:r>
        <w:rPr>
          <w:rFonts w:ascii="黑体" w:hAnsi="黑体" w:eastAsia="黑体"/>
          <w:b w:val="0"/>
          <w:sz w:val="24"/>
          <w:szCs w:val="24"/>
          <w:highlight w:val="none"/>
        </w:rPr>
        <w:t>评标办法前附表</w:t>
      </w:r>
      <w:r>
        <w:rPr>
          <w:rFonts w:ascii="宋体" w:hAnsi="宋体"/>
          <w:b w:val="0"/>
          <w:sz w:val="30"/>
          <w:szCs w:val="30"/>
          <w:highlight w:val="none"/>
          <w:vertAlign w:val="superscript"/>
        </w:rPr>
        <w:footnoteReference w:id="1"/>
      </w:r>
      <w:bookmarkEnd w:id="109"/>
      <w:bookmarkStart w:id="121" w:name="_Hlk175945297"/>
    </w:p>
    <w:tbl>
      <w:tblPr>
        <w:tblStyle w:val="5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859"/>
        <w:gridCol w:w="1391"/>
        <w:gridCol w:w="7399"/>
      </w:tblGrid>
      <w:tr w14:paraId="3379B6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25" w:hRule="atLeast"/>
          <w:tblHeader/>
          <w:jc w:val="center"/>
        </w:trPr>
        <w:tc>
          <w:tcPr>
            <w:tcW w:w="1166" w:type="pct"/>
            <w:gridSpan w:val="2"/>
            <w:vAlign w:val="center"/>
          </w:tcPr>
          <w:p w14:paraId="691D0E3F">
            <w:pPr>
              <w:jc w:val="center"/>
              <w:rPr>
                <w:bCs/>
                <w:highlight w:val="none"/>
              </w:rPr>
            </w:pPr>
            <w:r>
              <w:rPr>
                <w:bCs/>
                <w:highlight w:val="none"/>
              </w:rPr>
              <w:t>条款号</w:t>
            </w:r>
          </w:p>
        </w:tc>
        <w:tc>
          <w:tcPr>
            <w:tcW w:w="3834" w:type="pct"/>
            <w:vAlign w:val="center"/>
          </w:tcPr>
          <w:p w14:paraId="1AB882AC">
            <w:pPr>
              <w:jc w:val="center"/>
              <w:rPr>
                <w:bCs/>
                <w:highlight w:val="none"/>
              </w:rPr>
            </w:pPr>
            <w:r>
              <w:rPr>
                <w:bCs/>
                <w:highlight w:val="none"/>
              </w:rPr>
              <w:t>评审因素与评审标准</w:t>
            </w:r>
          </w:p>
        </w:tc>
      </w:tr>
      <w:tr w14:paraId="6AA680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4" w:hRule="atLeast"/>
          <w:jc w:val="center"/>
        </w:trPr>
        <w:tc>
          <w:tcPr>
            <w:tcW w:w="445" w:type="pct"/>
            <w:vAlign w:val="center"/>
          </w:tcPr>
          <w:p w14:paraId="5F613162">
            <w:pPr>
              <w:autoSpaceDE w:val="0"/>
              <w:autoSpaceDN w:val="0"/>
              <w:adjustRightInd w:val="0"/>
              <w:snapToGrid w:val="0"/>
              <w:spacing w:line="300" w:lineRule="auto"/>
              <w:ind w:firstLine="420" w:firstLineChars="200"/>
              <w:rPr>
                <w:rFonts w:hint="eastAsia" w:ascii="宋体" w:hAnsi="宋体"/>
                <w:bCs/>
                <w:szCs w:val="21"/>
                <w:highlight w:val="none"/>
              </w:rPr>
            </w:pPr>
            <w:r>
              <w:rPr>
                <w:rFonts w:hint="eastAsia" w:ascii="宋体" w:hAnsi="宋体"/>
                <w:bCs/>
                <w:szCs w:val="21"/>
                <w:highlight w:val="none"/>
              </w:rPr>
              <w:t>1</w:t>
            </w:r>
          </w:p>
        </w:tc>
        <w:tc>
          <w:tcPr>
            <w:tcW w:w="721" w:type="pct"/>
            <w:vAlign w:val="center"/>
          </w:tcPr>
          <w:p w14:paraId="2EB05B16">
            <w:pPr>
              <w:adjustRightInd w:val="0"/>
              <w:snapToGrid w:val="0"/>
              <w:spacing w:line="300" w:lineRule="auto"/>
              <w:ind w:firstLine="210" w:firstLineChars="100"/>
              <w:rPr>
                <w:rFonts w:hint="eastAsia" w:ascii="宋体" w:hAnsi="宋体"/>
                <w:bCs/>
                <w:szCs w:val="21"/>
                <w:highlight w:val="none"/>
              </w:rPr>
            </w:pPr>
            <w:r>
              <w:rPr>
                <w:rFonts w:hint="eastAsia" w:ascii="宋体" w:hAnsi="宋体"/>
                <w:bCs/>
                <w:szCs w:val="21"/>
                <w:highlight w:val="none"/>
              </w:rPr>
              <w:t>评标方法</w:t>
            </w:r>
          </w:p>
        </w:tc>
        <w:tc>
          <w:tcPr>
            <w:tcW w:w="3834" w:type="pct"/>
            <w:vAlign w:val="center"/>
          </w:tcPr>
          <w:p w14:paraId="3A061EFC">
            <w:pPr>
              <w:adjustRightInd w:val="0"/>
              <w:snapToGrid w:val="0"/>
              <w:spacing w:line="360" w:lineRule="exact"/>
              <w:ind w:firstLine="420" w:firstLineChars="200"/>
              <w:jc w:val="left"/>
              <w:rPr>
                <w:rFonts w:hint="eastAsia" w:ascii="宋体" w:hAnsi="宋体"/>
                <w:bCs/>
                <w:szCs w:val="21"/>
                <w:highlight w:val="none"/>
              </w:rPr>
            </w:pPr>
            <w:r>
              <w:rPr>
                <w:rFonts w:hint="eastAsia" w:ascii="黑体" w:hAnsi="黑体" w:eastAsia="黑体"/>
                <w:bCs/>
                <w:szCs w:val="21"/>
                <w:highlight w:val="none"/>
              </w:rPr>
              <w:t>本次评标采用技术评分最低标价法</w:t>
            </w:r>
            <w:r>
              <w:rPr>
                <w:rFonts w:hint="eastAsia" w:ascii="宋体" w:hAnsi="宋体"/>
                <w:bCs/>
                <w:szCs w:val="21"/>
                <w:highlight w:val="none"/>
              </w:rPr>
              <w:t>。评标委员会对满足招标文件实质性要求投标文件的施工组织设计、主要人员、企业业绩、履约信誉等因素进行评分，按照得分由高到低排序，对排名在招标文件规定数量以内的投标人的报价文件进行评审，按照评标价由低到高的顺序推荐中标候选人，但投标报价低于其成本的除外。评标价相等时，投标文件第一个信封（商务及技术文件）排序在前的投标人优先。</w:t>
            </w:r>
          </w:p>
          <w:p w14:paraId="5AC5A061">
            <w:pPr>
              <w:adjustRightInd w:val="0"/>
              <w:snapToGrid w:val="0"/>
              <w:spacing w:line="360" w:lineRule="exact"/>
              <w:ind w:firstLine="420" w:firstLineChars="200"/>
              <w:rPr>
                <w:rFonts w:hint="eastAsia" w:ascii="楷体" w:hAnsi="楷体" w:eastAsia="楷体"/>
                <w:bCs/>
                <w:szCs w:val="21"/>
                <w:highlight w:val="none"/>
              </w:rPr>
            </w:pPr>
            <w:r>
              <w:rPr>
                <w:rFonts w:hint="eastAsia" w:ascii="黑体" w:hAnsi="黑体" w:eastAsia="黑体"/>
                <w:bCs/>
                <w:szCs w:val="21"/>
                <w:highlight w:val="none"/>
              </w:rPr>
              <w:t>每个投标人（包括联合体各成员）最多可对本次招标6个标段中的1个标段进行投标</w:t>
            </w:r>
            <w:r>
              <w:rPr>
                <w:rFonts w:hint="eastAsia" w:ascii="宋体" w:hAnsi="宋体"/>
                <w:bCs/>
                <w:szCs w:val="21"/>
                <w:highlight w:val="none"/>
              </w:rPr>
              <w:t>。</w:t>
            </w:r>
            <w:r>
              <w:rPr>
                <w:rFonts w:hint="eastAsia" w:ascii="宋体" w:hAnsi="宋体"/>
                <w:bCs/>
                <w:szCs w:val="21"/>
                <w:highlight w:val="none"/>
              </w:rPr>
              <w:t xml:space="preserve"> </w:t>
            </w:r>
          </w:p>
        </w:tc>
      </w:tr>
      <w:tr w14:paraId="4A36F8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1" w:hRule="atLeast"/>
          <w:jc w:val="center"/>
        </w:trPr>
        <w:tc>
          <w:tcPr>
            <w:tcW w:w="445" w:type="pct"/>
            <w:tcBorders>
              <w:bottom w:val="single" w:color="auto" w:sz="4" w:space="0"/>
            </w:tcBorders>
            <w:vAlign w:val="center"/>
          </w:tcPr>
          <w:p w14:paraId="10A92BD2">
            <w:pPr>
              <w:autoSpaceDE w:val="0"/>
              <w:autoSpaceDN w:val="0"/>
              <w:adjustRightInd w:val="0"/>
              <w:snapToGrid w:val="0"/>
              <w:spacing w:line="300" w:lineRule="auto"/>
              <w:ind w:firstLine="210" w:firstLineChars="100"/>
              <w:rPr>
                <w:rFonts w:hint="eastAsia" w:ascii="宋体" w:hAnsi="宋体"/>
                <w:bCs/>
                <w:szCs w:val="21"/>
                <w:highlight w:val="none"/>
              </w:rPr>
            </w:pPr>
            <w:r>
              <w:rPr>
                <w:rFonts w:ascii="宋体" w:hAnsi="宋体"/>
                <w:bCs/>
                <w:szCs w:val="21"/>
                <w:highlight w:val="none"/>
              </w:rPr>
              <w:t>2.1.1</w:t>
            </w:r>
          </w:p>
          <w:p w14:paraId="4502D2DB">
            <w:pPr>
              <w:autoSpaceDE w:val="0"/>
              <w:autoSpaceDN w:val="0"/>
              <w:adjustRightInd w:val="0"/>
              <w:snapToGrid w:val="0"/>
              <w:spacing w:line="300" w:lineRule="auto"/>
              <w:ind w:firstLine="210" w:firstLineChars="100"/>
              <w:rPr>
                <w:rFonts w:hint="eastAsia" w:ascii="宋体" w:hAnsi="宋体"/>
                <w:bCs/>
                <w:szCs w:val="21"/>
                <w:highlight w:val="none"/>
              </w:rPr>
            </w:pPr>
            <w:r>
              <w:rPr>
                <w:rFonts w:ascii="宋体" w:hAnsi="宋体"/>
                <w:bCs/>
                <w:szCs w:val="21"/>
                <w:highlight w:val="none"/>
              </w:rPr>
              <w:t>2.1.3</w:t>
            </w:r>
          </w:p>
        </w:tc>
        <w:tc>
          <w:tcPr>
            <w:tcW w:w="721" w:type="pct"/>
            <w:tcBorders>
              <w:bottom w:val="single" w:color="auto" w:sz="4" w:space="0"/>
            </w:tcBorders>
            <w:vAlign w:val="center"/>
          </w:tcPr>
          <w:p w14:paraId="186004E9">
            <w:pPr>
              <w:adjustRightInd w:val="0"/>
              <w:snapToGrid w:val="0"/>
              <w:spacing w:line="300" w:lineRule="auto"/>
              <w:ind w:firstLine="210" w:firstLineChars="100"/>
              <w:rPr>
                <w:rFonts w:hint="eastAsia" w:ascii="宋体" w:hAnsi="宋体"/>
                <w:bCs/>
                <w:szCs w:val="21"/>
                <w:highlight w:val="none"/>
              </w:rPr>
            </w:pPr>
            <w:r>
              <w:rPr>
                <w:rFonts w:hint="eastAsia" w:ascii="宋体" w:hAnsi="宋体"/>
                <w:bCs/>
                <w:szCs w:val="21"/>
                <w:highlight w:val="none"/>
              </w:rPr>
              <w:t>形式评审与</w:t>
            </w:r>
          </w:p>
          <w:p w14:paraId="36A920F5">
            <w:pPr>
              <w:adjustRightInd w:val="0"/>
              <w:snapToGrid w:val="0"/>
              <w:spacing w:line="300" w:lineRule="auto"/>
              <w:ind w:firstLine="210" w:firstLineChars="100"/>
              <w:rPr>
                <w:rFonts w:hint="eastAsia" w:ascii="宋体" w:hAnsi="宋体"/>
                <w:bCs/>
                <w:szCs w:val="21"/>
                <w:highlight w:val="none"/>
              </w:rPr>
            </w:pPr>
            <w:r>
              <w:rPr>
                <w:rFonts w:hint="eastAsia" w:ascii="宋体" w:hAnsi="宋体"/>
                <w:bCs/>
                <w:szCs w:val="21"/>
                <w:highlight w:val="none"/>
              </w:rPr>
              <w:t>响应性评审</w:t>
            </w:r>
          </w:p>
          <w:p w14:paraId="11622755">
            <w:pPr>
              <w:adjustRightInd w:val="0"/>
              <w:snapToGrid w:val="0"/>
              <w:spacing w:line="300" w:lineRule="auto"/>
              <w:ind w:firstLine="420" w:firstLineChars="200"/>
              <w:rPr>
                <w:rFonts w:hint="eastAsia" w:ascii="宋体" w:hAnsi="宋体"/>
                <w:bCs/>
                <w:szCs w:val="21"/>
                <w:highlight w:val="none"/>
              </w:rPr>
            </w:pPr>
            <w:r>
              <w:rPr>
                <w:rFonts w:hint="eastAsia" w:ascii="宋体" w:hAnsi="宋体"/>
                <w:bCs/>
                <w:szCs w:val="21"/>
                <w:highlight w:val="none"/>
              </w:rPr>
              <w:t>标准</w:t>
            </w:r>
          </w:p>
        </w:tc>
        <w:tc>
          <w:tcPr>
            <w:tcW w:w="3834" w:type="pct"/>
            <w:tcBorders>
              <w:bottom w:val="single" w:color="auto" w:sz="4" w:space="0"/>
            </w:tcBorders>
          </w:tcPr>
          <w:p w14:paraId="7D8B9090">
            <w:pPr>
              <w:spacing w:before="120" w:beforeLines="50" w:line="360" w:lineRule="exact"/>
              <w:ind w:firstLine="210" w:firstLineChars="100"/>
              <w:rPr>
                <w:rFonts w:hint="eastAsia" w:ascii="黑体" w:hAnsi="黑体" w:eastAsia="黑体"/>
                <w:bCs/>
                <w:highlight w:val="none"/>
              </w:rPr>
            </w:pPr>
            <w:r>
              <w:rPr>
                <w:rFonts w:hint="eastAsia" w:ascii="黑体" w:hAnsi="黑体" w:eastAsia="黑体"/>
                <w:bCs/>
                <w:highlight w:val="none"/>
              </w:rPr>
              <w:t>第一个信封（商务及技术文件）评审标准：</w:t>
            </w:r>
          </w:p>
          <w:p w14:paraId="6E35D65A">
            <w:pPr>
              <w:numPr>
                <w:ilvl w:val="0"/>
                <w:numId w:val="1"/>
              </w:numPr>
              <w:spacing w:line="360" w:lineRule="exact"/>
              <w:ind w:left="0" w:firstLine="210" w:firstLineChars="100"/>
              <w:rPr>
                <w:rFonts w:hint="eastAsia" w:ascii="宋体" w:hAnsi="宋体"/>
                <w:bCs/>
                <w:szCs w:val="21"/>
                <w:highlight w:val="none"/>
              </w:rPr>
            </w:pPr>
            <w:r>
              <w:rPr>
                <w:rFonts w:hint="eastAsia" w:ascii="宋体" w:hAnsi="宋体"/>
                <w:bCs/>
                <w:szCs w:val="21"/>
                <w:highlight w:val="none"/>
              </w:rPr>
              <w:t>投标文件按照招标文件规定的格式、内容填写，字迹清晰可辨：</w:t>
            </w:r>
          </w:p>
          <w:p w14:paraId="226D2638">
            <w:pPr>
              <w:spacing w:line="360" w:lineRule="exact"/>
              <w:ind w:firstLine="420" w:firstLineChars="200"/>
              <w:rPr>
                <w:rFonts w:hint="eastAsia" w:ascii="宋体" w:hAnsi="宋体"/>
                <w:bCs/>
                <w:szCs w:val="21"/>
                <w:highlight w:val="none"/>
              </w:rPr>
            </w:pPr>
            <w:r>
              <w:rPr>
                <w:rFonts w:hint="eastAsia" w:ascii="宋体" w:hAnsi="宋体"/>
                <w:bCs/>
                <w:szCs w:val="21"/>
                <w:highlight w:val="none"/>
              </w:rPr>
              <w:t>a.投标函按招标文件规定填报了项目名称、标段号、补遗书编号（如有）、工期、工程质量要求及安全目标；</w:t>
            </w:r>
          </w:p>
          <w:p w14:paraId="505FFEFF">
            <w:pPr>
              <w:spacing w:line="360" w:lineRule="exact"/>
              <w:ind w:firstLine="420" w:firstLineChars="200"/>
              <w:rPr>
                <w:rFonts w:hint="eastAsia" w:ascii="宋体" w:hAnsi="宋体"/>
                <w:bCs/>
                <w:szCs w:val="21"/>
                <w:highlight w:val="none"/>
              </w:rPr>
            </w:pPr>
            <w:r>
              <w:rPr>
                <w:rFonts w:hint="eastAsia" w:ascii="宋体" w:hAnsi="宋体"/>
                <w:bCs/>
                <w:szCs w:val="21"/>
                <w:highlight w:val="none"/>
              </w:rPr>
              <w:t>b.投标函附录的所有数据均符合招标文件规定；</w:t>
            </w:r>
          </w:p>
          <w:p w14:paraId="0DC64F83">
            <w:pPr>
              <w:spacing w:line="360" w:lineRule="exact"/>
              <w:ind w:firstLine="420" w:firstLineChars="200"/>
              <w:rPr>
                <w:rFonts w:hint="eastAsia" w:ascii="宋体" w:hAnsi="宋体"/>
                <w:bCs/>
                <w:szCs w:val="21"/>
                <w:highlight w:val="none"/>
              </w:rPr>
            </w:pPr>
            <w:r>
              <w:rPr>
                <w:rFonts w:hint="eastAsia" w:ascii="宋体" w:hAnsi="宋体"/>
                <w:bCs/>
                <w:szCs w:val="21"/>
                <w:highlight w:val="none"/>
              </w:rPr>
              <w:t xml:space="preserve">c.投标文件组成齐全完整，内容均按规定填写。 </w:t>
            </w:r>
          </w:p>
          <w:p w14:paraId="0BE50406">
            <w:pPr>
              <w:numPr>
                <w:ilvl w:val="0"/>
                <w:numId w:val="1"/>
              </w:numPr>
              <w:spacing w:line="360" w:lineRule="exact"/>
              <w:ind w:left="0" w:firstLine="210" w:firstLineChars="100"/>
              <w:rPr>
                <w:rFonts w:hint="eastAsia" w:ascii="宋体" w:hAnsi="宋体"/>
                <w:bCs/>
                <w:szCs w:val="21"/>
                <w:highlight w:val="none"/>
              </w:rPr>
            </w:pPr>
            <w:r>
              <w:rPr>
                <w:rFonts w:hint="eastAsia" w:ascii="宋体" w:hAnsi="宋体"/>
                <w:bCs/>
                <w:szCs w:val="21"/>
                <w:highlight w:val="none"/>
              </w:rPr>
              <w:t>投标文件上法定代表人或其授权代理人的签字、投标人的单位章盖章齐全，符合招标文件规定。</w:t>
            </w:r>
          </w:p>
          <w:p w14:paraId="58398DC9">
            <w:pPr>
              <w:numPr>
                <w:ilvl w:val="0"/>
                <w:numId w:val="1"/>
              </w:numPr>
              <w:spacing w:line="360" w:lineRule="exact"/>
              <w:ind w:left="0" w:firstLine="210" w:firstLineChars="100"/>
              <w:rPr>
                <w:rFonts w:hint="eastAsia" w:ascii="宋体" w:hAnsi="宋体"/>
                <w:bCs/>
                <w:szCs w:val="21"/>
                <w:highlight w:val="none"/>
              </w:rPr>
            </w:pPr>
            <w:r>
              <w:rPr>
                <w:rFonts w:hint="eastAsia" w:ascii="宋体" w:hAnsi="宋体"/>
                <w:bCs/>
                <w:szCs w:val="21"/>
                <w:highlight w:val="none"/>
              </w:rPr>
              <w:t>投标人按照招标文件的规定提供了投标保证金：</w:t>
            </w:r>
          </w:p>
          <w:p w14:paraId="330145A4">
            <w:pPr>
              <w:spacing w:line="360" w:lineRule="exact"/>
              <w:ind w:firstLine="420" w:firstLineChars="200"/>
              <w:rPr>
                <w:rFonts w:hint="eastAsia" w:ascii="宋体" w:hAnsi="宋体"/>
                <w:bCs/>
                <w:szCs w:val="21"/>
                <w:highlight w:val="none"/>
              </w:rPr>
            </w:pPr>
            <w:r>
              <w:rPr>
                <w:rFonts w:hint="eastAsia" w:ascii="宋体" w:hAnsi="宋体"/>
                <w:bCs/>
                <w:szCs w:val="21"/>
                <w:highlight w:val="none"/>
              </w:rPr>
              <w:t>a.投标保证金金额符合招标文件规定的金额，且投标保证金有效期不少于投标有效期；</w:t>
            </w:r>
          </w:p>
          <w:p w14:paraId="52D97473">
            <w:pPr>
              <w:spacing w:line="360" w:lineRule="exact"/>
              <w:ind w:firstLine="420" w:firstLineChars="200"/>
              <w:rPr>
                <w:rFonts w:hint="eastAsia" w:ascii="宋体" w:hAnsi="宋体"/>
                <w:bCs/>
                <w:szCs w:val="21"/>
                <w:highlight w:val="none"/>
              </w:rPr>
            </w:pPr>
            <w:r>
              <w:rPr>
                <w:rFonts w:hint="eastAsia" w:ascii="宋体" w:hAnsi="宋体"/>
                <w:bCs/>
                <w:szCs w:val="21"/>
                <w:highlight w:val="none"/>
              </w:rPr>
              <w:t>b.若投标保证金采用现金或支票形式提交，投标人应在递交投标文件截止时间之前，将投标保证金由投标人的基本账户转入招标人指定账户；</w:t>
            </w:r>
          </w:p>
          <w:p w14:paraId="7B5551BD">
            <w:pPr>
              <w:spacing w:line="360" w:lineRule="exact"/>
              <w:ind w:firstLine="420" w:firstLineChars="200"/>
              <w:rPr>
                <w:rFonts w:hint="eastAsia" w:ascii="宋体" w:hAnsi="宋体"/>
                <w:bCs/>
                <w:szCs w:val="21"/>
                <w:highlight w:val="none"/>
              </w:rPr>
            </w:pPr>
            <w:r>
              <w:rPr>
                <w:rFonts w:hint="eastAsia" w:ascii="宋体" w:hAnsi="宋体"/>
                <w:bCs/>
                <w:szCs w:val="21"/>
                <w:highlight w:val="none"/>
              </w:rPr>
              <w:t>c.若投标保证金采用电子保函形式提交，必须为按招标文件要求在吉林省公共资源交易一体化平台开展</w:t>
            </w:r>
            <w:bookmarkStart w:id="122" w:name="OLE_LINK105"/>
            <w:r>
              <w:rPr>
                <w:rFonts w:hint="eastAsia" w:ascii="宋体" w:hAnsi="宋体"/>
                <w:bCs/>
                <w:szCs w:val="21"/>
                <w:highlight w:val="none"/>
              </w:rPr>
              <w:t>电子保函担保</w:t>
            </w:r>
            <w:bookmarkEnd w:id="122"/>
            <w:r>
              <w:rPr>
                <w:rFonts w:hint="eastAsia" w:ascii="宋体" w:hAnsi="宋体"/>
                <w:bCs/>
                <w:szCs w:val="21"/>
                <w:highlight w:val="none"/>
              </w:rPr>
              <w:t>业务的第三方服务机构提供的电子保函。</w:t>
            </w:r>
          </w:p>
          <w:p w14:paraId="5A711920">
            <w:pPr>
              <w:numPr>
                <w:ilvl w:val="0"/>
                <w:numId w:val="1"/>
              </w:numPr>
              <w:spacing w:line="360" w:lineRule="exact"/>
              <w:ind w:left="0" w:firstLine="210" w:firstLineChars="100"/>
              <w:rPr>
                <w:rFonts w:hint="eastAsia" w:ascii="宋体" w:hAnsi="宋体"/>
                <w:bCs/>
                <w:szCs w:val="21"/>
                <w:highlight w:val="none"/>
              </w:rPr>
            </w:pPr>
            <w:r>
              <w:rPr>
                <w:rFonts w:hint="eastAsia" w:ascii="宋体" w:hAnsi="宋体"/>
                <w:bCs/>
                <w:szCs w:val="21"/>
                <w:highlight w:val="none"/>
              </w:rPr>
              <w:t>投标人法定代表人授权委托代理人签署投标文件的，须提交授权委托书，授权委托书符合招标文件规定。</w:t>
            </w:r>
          </w:p>
          <w:p w14:paraId="3FDDC10F">
            <w:pPr>
              <w:numPr>
                <w:ilvl w:val="0"/>
                <w:numId w:val="1"/>
              </w:numPr>
              <w:spacing w:line="360" w:lineRule="exact"/>
              <w:ind w:left="0" w:firstLine="210" w:firstLineChars="100"/>
              <w:rPr>
                <w:rFonts w:hint="eastAsia" w:ascii="宋体" w:hAnsi="宋体"/>
                <w:bCs/>
                <w:szCs w:val="21"/>
                <w:highlight w:val="none"/>
              </w:rPr>
            </w:pPr>
            <w:r>
              <w:rPr>
                <w:rFonts w:hint="eastAsia" w:ascii="宋体" w:hAnsi="宋体"/>
                <w:bCs/>
                <w:szCs w:val="21"/>
                <w:highlight w:val="none"/>
              </w:rPr>
              <w:t>投标人法定代表人亲自签署投标文件的，提供了法定代表人身份证明，法定代表人身份证明符合招标文件规定。</w:t>
            </w:r>
          </w:p>
          <w:p w14:paraId="040167EF">
            <w:pPr>
              <w:numPr>
                <w:ilvl w:val="0"/>
                <w:numId w:val="1"/>
              </w:numPr>
              <w:spacing w:line="360" w:lineRule="exact"/>
              <w:ind w:left="0" w:firstLine="210" w:firstLineChars="100"/>
              <w:rPr>
                <w:rFonts w:hint="eastAsia" w:ascii="宋体" w:hAnsi="宋体"/>
                <w:bCs/>
                <w:szCs w:val="21"/>
                <w:highlight w:val="none"/>
              </w:rPr>
            </w:pPr>
            <w:r>
              <w:rPr>
                <w:rFonts w:hint="eastAsia" w:ascii="宋体" w:hAnsi="宋体"/>
                <w:bCs/>
                <w:szCs w:val="21"/>
                <w:highlight w:val="none"/>
              </w:rPr>
              <w:t>投标人以联合体形式投标时，联合体满足招标文件的要求：投标人按照招标文件提供的格式签订了联合体协议书，明确各方承担连带责任，并明确了联合体牵头人。</w:t>
            </w:r>
          </w:p>
          <w:p w14:paraId="0D9DB5A8">
            <w:pPr>
              <w:numPr>
                <w:ilvl w:val="0"/>
                <w:numId w:val="1"/>
              </w:numPr>
              <w:spacing w:line="360" w:lineRule="exact"/>
              <w:ind w:left="0" w:firstLine="210" w:firstLineChars="100"/>
              <w:rPr>
                <w:rFonts w:hint="eastAsia" w:ascii="宋体" w:hAnsi="宋体"/>
                <w:bCs/>
                <w:szCs w:val="21"/>
                <w:highlight w:val="none"/>
              </w:rPr>
            </w:pPr>
            <w:r>
              <w:rPr>
                <w:rFonts w:hint="eastAsia" w:ascii="宋体" w:hAnsi="宋体"/>
                <w:bCs/>
                <w:szCs w:val="21"/>
                <w:highlight w:val="none"/>
              </w:rPr>
              <w:t>投标人如有分包计划，符合招标文件“投标人须知”第11.1规定，且按招标文件第九章“投标文件格式”的要求填写了“拟分包项目情况表”。</w:t>
            </w:r>
          </w:p>
          <w:p w14:paraId="357F69C5">
            <w:pPr>
              <w:numPr>
                <w:ilvl w:val="0"/>
                <w:numId w:val="1"/>
              </w:numPr>
              <w:spacing w:line="360" w:lineRule="exact"/>
              <w:ind w:left="0" w:firstLine="210" w:firstLineChars="100"/>
              <w:rPr>
                <w:rFonts w:hint="eastAsia" w:ascii="宋体" w:hAnsi="宋体"/>
                <w:bCs/>
                <w:szCs w:val="21"/>
                <w:highlight w:val="none"/>
              </w:rPr>
            </w:pPr>
            <w:r>
              <w:rPr>
                <w:rFonts w:hint="eastAsia" w:ascii="宋体" w:hAnsi="宋体"/>
                <w:bCs/>
                <w:szCs w:val="21"/>
                <w:highlight w:val="none"/>
              </w:rPr>
              <w:t>投标文件中未出现有关投标报价的内容。</w:t>
            </w:r>
          </w:p>
          <w:p w14:paraId="74097352">
            <w:pPr>
              <w:numPr>
                <w:ilvl w:val="0"/>
                <w:numId w:val="1"/>
              </w:numPr>
              <w:spacing w:line="360" w:lineRule="exact"/>
              <w:ind w:left="0" w:firstLine="210" w:firstLineChars="100"/>
              <w:rPr>
                <w:rFonts w:hint="eastAsia" w:ascii="宋体" w:hAnsi="宋体"/>
                <w:bCs/>
                <w:szCs w:val="21"/>
                <w:highlight w:val="none"/>
              </w:rPr>
            </w:pPr>
            <w:r>
              <w:rPr>
                <w:rFonts w:hint="eastAsia" w:ascii="宋体" w:hAnsi="宋体"/>
                <w:bCs/>
                <w:szCs w:val="21"/>
                <w:highlight w:val="none"/>
              </w:rPr>
              <w:t>投标文件载明的招标项目完成期限未超过招标文件规定的时限。</w:t>
            </w:r>
          </w:p>
          <w:p w14:paraId="2999F8F1">
            <w:pPr>
              <w:numPr>
                <w:ilvl w:val="0"/>
                <w:numId w:val="1"/>
              </w:numPr>
              <w:spacing w:line="360" w:lineRule="exact"/>
              <w:ind w:left="0" w:firstLine="210" w:firstLineChars="100"/>
              <w:rPr>
                <w:rFonts w:hint="eastAsia" w:ascii="宋体" w:hAnsi="宋体"/>
                <w:bCs/>
                <w:szCs w:val="21"/>
                <w:highlight w:val="none"/>
              </w:rPr>
            </w:pPr>
            <w:r>
              <w:rPr>
                <w:rFonts w:hint="eastAsia" w:ascii="宋体" w:hAnsi="宋体"/>
                <w:bCs/>
                <w:szCs w:val="21"/>
                <w:highlight w:val="none"/>
              </w:rPr>
              <w:t>投标文件对招标文件的实质性要求和条件作出响应。</w:t>
            </w:r>
          </w:p>
          <w:p w14:paraId="12EFFB9D">
            <w:pPr>
              <w:numPr>
                <w:ilvl w:val="0"/>
                <w:numId w:val="1"/>
              </w:numPr>
              <w:spacing w:line="360" w:lineRule="exact"/>
              <w:ind w:left="0" w:firstLine="210" w:firstLineChars="100"/>
              <w:rPr>
                <w:rFonts w:hint="eastAsia" w:ascii="宋体" w:hAnsi="宋体"/>
                <w:bCs/>
                <w:szCs w:val="21"/>
                <w:highlight w:val="none"/>
              </w:rPr>
            </w:pPr>
            <w:r>
              <w:rPr>
                <w:rFonts w:hint="eastAsia" w:ascii="宋体" w:hAnsi="宋体"/>
                <w:bCs/>
                <w:szCs w:val="21"/>
                <w:highlight w:val="none"/>
              </w:rPr>
              <w:t>权利义务符合招标文件规定：</w:t>
            </w:r>
          </w:p>
          <w:p w14:paraId="1B946325">
            <w:pPr>
              <w:spacing w:line="360" w:lineRule="exact"/>
              <w:ind w:firstLine="420" w:firstLineChars="200"/>
              <w:rPr>
                <w:rFonts w:hint="eastAsia" w:ascii="宋体" w:hAnsi="宋体"/>
                <w:bCs/>
                <w:szCs w:val="21"/>
                <w:highlight w:val="none"/>
              </w:rPr>
            </w:pPr>
            <w:r>
              <w:rPr>
                <w:rFonts w:hint="eastAsia" w:ascii="宋体" w:hAnsi="宋体"/>
                <w:bCs/>
                <w:szCs w:val="21"/>
                <w:highlight w:val="none"/>
              </w:rPr>
              <w:t>a.投标人应接受招标文件规定的风险划分原则，未提出新的风险划分办法；</w:t>
            </w:r>
          </w:p>
          <w:p w14:paraId="26AC4342">
            <w:pPr>
              <w:spacing w:line="360" w:lineRule="exact"/>
              <w:ind w:firstLine="420" w:firstLineChars="200"/>
              <w:rPr>
                <w:rFonts w:hint="eastAsia" w:ascii="宋体" w:hAnsi="宋体"/>
                <w:bCs/>
                <w:szCs w:val="21"/>
                <w:highlight w:val="none"/>
              </w:rPr>
            </w:pPr>
            <w:r>
              <w:rPr>
                <w:rFonts w:hint="eastAsia" w:ascii="宋体" w:hAnsi="宋体"/>
                <w:bCs/>
                <w:szCs w:val="21"/>
                <w:highlight w:val="none"/>
              </w:rPr>
              <w:t>b.投标人未增加发包人的责任范围，或减少投标人义务；</w:t>
            </w:r>
          </w:p>
          <w:p w14:paraId="399CF306">
            <w:pPr>
              <w:spacing w:line="360" w:lineRule="exact"/>
              <w:ind w:firstLine="420" w:firstLineChars="200"/>
              <w:rPr>
                <w:rFonts w:hint="eastAsia" w:ascii="宋体" w:hAnsi="宋体"/>
                <w:bCs/>
                <w:szCs w:val="21"/>
                <w:highlight w:val="none"/>
              </w:rPr>
            </w:pPr>
            <w:r>
              <w:rPr>
                <w:rFonts w:hint="eastAsia" w:ascii="宋体" w:hAnsi="宋体"/>
                <w:bCs/>
                <w:szCs w:val="21"/>
                <w:highlight w:val="none"/>
              </w:rPr>
              <w:t>c.投标人未提出不同的工程验收、计量、支付办法；</w:t>
            </w:r>
          </w:p>
          <w:p w14:paraId="552401EC">
            <w:pPr>
              <w:spacing w:line="360" w:lineRule="exact"/>
              <w:ind w:firstLine="420" w:firstLineChars="200"/>
              <w:rPr>
                <w:rFonts w:hint="eastAsia" w:ascii="宋体" w:hAnsi="宋体"/>
                <w:bCs/>
                <w:szCs w:val="21"/>
                <w:highlight w:val="none"/>
              </w:rPr>
            </w:pPr>
            <w:r>
              <w:rPr>
                <w:rFonts w:hint="eastAsia" w:ascii="宋体" w:hAnsi="宋体"/>
                <w:bCs/>
                <w:szCs w:val="21"/>
                <w:highlight w:val="none"/>
              </w:rPr>
              <w:t>d.投标人对合同纠纷、事故处理办法未提出异议；</w:t>
            </w:r>
          </w:p>
          <w:p w14:paraId="616AA548">
            <w:pPr>
              <w:spacing w:line="360" w:lineRule="exact"/>
              <w:ind w:firstLine="420" w:firstLineChars="200"/>
              <w:rPr>
                <w:rFonts w:hint="eastAsia" w:ascii="宋体" w:hAnsi="宋体"/>
                <w:bCs/>
                <w:szCs w:val="21"/>
                <w:highlight w:val="none"/>
              </w:rPr>
            </w:pPr>
            <w:r>
              <w:rPr>
                <w:rFonts w:hint="eastAsia" w:ascii="宋体" w:hAnsi="宋体"/>
                <w:bCs/>
                <w:szCs w:val="21"/>
                <w:highlight w:val="none"/>
              </w:rPr>
              <w:t>e.投标人在投标活动中无欺诈行为；</w:t>
            </w:r>
          </w:p>
          <w:p w14:paraId="5353A03C">
            <w:pPr>
              <w:spacing w:line="360" w:lineRule="exact"/>
              <w:ind w:firstLine="420" w:firstLineChars="200"/>
              <w:rPr>
                <w:rFonts w:hint="eastAsia" w:ascii="宋体" w:hAnsi="宋体"/>
                <w:bCs/>
                <w:szCs w:val="21"/>
                <w:highlight w:val="none"/>
              </w:rPr>
            </w:pPr>
            <w:r>
              <w:rPr>
                <w:rFonts w:hint="eastAsia" w:ascii="宋体" w:hAnsi="宋体"/>
                <w:bCs/>
                <w:szCs w:val="21"/>
                <w:highlight w:val="none"/>
              </w:rPr>
              <w:t>f.投标人未对合同条款有重要保留。</w:t>
            </w:r>
          </w:p>
        </w:tc>
      </w:tr>
      <w:tr w14:paraId="7DC8D6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267" w:hRule="atLeast"/>
          <w:jc w:val="center"/>
        </w:trPr>
        <w:tc>
          <w:tcPr>
            <w:tcW w:w="445" w:type="pct"/>
            <w:tcBorders>
              <w:top w:val="single" w:color="auto" w:sz="4" w:space="0"/>
            </w:tcBorders>
            <w:vAlign w:val="center"/>
          </w:tcPr>
          <w:p w14:paraId="39F7D7B0">
            <w:pPr>
              <w:autoSpaceDE w:val="0"/>
              <w:autoSpaceDN w:val="0"/>
              <w:adjustRightInd w:val="0"/>
              <w:snapToGrid w:val="0"/>
              <w:spacing w:line="340" w:lineRule="exact"/>
              <w:ind w:firstLine="210" w:firstLineChars="100"/>
              <w:rPr>
                <w:rFonts w:hint="eastAsia" w:ascii="宋体" w:hAnsi="宋体"/>
                <w:bCs/>
                <w:szCs w:val="21"/>
                <w:highlight w:val="none"/>
              </w:rPr>
            </w:pPr>
            <w:r>
              <w:rPr>
                <w:rFonts w:ascii="宋体" w:hAnsi="宋体"/>
                <w:bCs/>
                <w:szCs w:val="21"/>
                <w:highlight w:val="none"/>
              </w:rPr>
              <w:t>2.1.1</w:t>
            </w:r>
          </w:p>
          <w:p w14:paraId="741A5AFE">
            <w:pPr>
              <w:autoSpaceDE w:val="0"/>
              <w:autoSpaceDN w:val="0"/>
              <w:adjustRightInd w:val="0"/>
              <w:snapToGrid w:val="0"/>
              <w:spacing w:line="340" w:lineRule="exact"/>
              <w:ind w:firstLine="210" w:firstLineChars="100"/>
              <w:rPr>
                <w:rFonts w:hint="eastAsia" w:ascii="宋体" w:hAnsi="宋体"/>
                <w:bCs/>
                <w:szCs w:val="21"/>
                <w:highlight w:val="none"/>
              </w:rPr>
            </w:pPr>
            <w:r>
              <w:rPr>
                <w:rFonts w:ascii="宋体" w:hAnsi="宋体"/>
                <w:bCs/>
                <w:szCs w:val="21"/>
                <w:highlight w:val="none"/>
              </w:rPr>
              <w:t>2.1.3</w:t>
            </w:r>
          </w:p>
        </w:tc>
        <w:tc>
          <w:tcPr>
            <w:tcW w:w="721" w:type="pct"/>
            <w:tcBorders>
              <w:top w:val="single" w:color="auto" w:sz="4" w:space="0"/>
            </w:tcBorders>
            <w:vAlign w:val="center"/>
          </w:tcPr>
          <w:p w14:paraId="3221BD3B">
            <w:pPr>
              <w:adjustRightInd w:val="0"/>
              <w:snapToGrid w:val="0"/>
              <w:spacing w:line="360" w:lineRule="exact"/>
              <w:ind w:firstLine="210" w:firstLineChars="100"/>
              <w:rPr>
                <w:rFonts w:hint="eastAsia" w:ascii="宋体" w:hAnsi="宋体"/>
                <w:bCs/>
                <w:szCs w:val="21"/>
                <w:highlight w:val="none"/>
              </w:rPr>
            </w:pPr>
            <w:r>
              <w:rPr>
                <w:rFonts w:hint="eastAsia" w:ascii="宋体" w:hAnsi="宋体"/>
                <w:bCs/>
                <w:szCs w:val="21"/>
                <w:highlight w:val="none"/>
              </w:rPr>
              <w:t>形式评审与</w:t>
            </w:r>
          </w:p>
          <w:p w14:paraId="53655D1E">
            <w:pPr>
              <w:adjustRightInd w:val="0"/>
              <w:snapToGrid w:val="0"/>
              <w:spacing w:line="360" w:lineRule="exact"/>
              <w:ind w:firstLine="210" w:firstLineChars="100"/>
              <w:rPr>
                <w:rFonts w:hint="eastAsia" w:ascii="宋体" w:hAnsi="宋体"/>
                <w:bCs/>
                <w:szCs w:val="21"/>
                <w:highlight w:val="none"/>
              </w:rPr>
            </w:pPr>
            <w:r>
              <w:rPr>
                <w:rFonts w:hint="eastAsia" w:ascii="宋体" w:hAnsi="宋体"/>
                <w:bCs/>
                <w:szCs w:val="21"/>
                <w:highlight w:val="none"/>
              </w:rPr>
              <w:t>响应性评审</w:t>
            </w:r>
          </w:p>
          <w:p w14:paraId="72B23C2F">
            <w:pPr>
              <w:adjustRightInd w:val="0"/>
              <w:snapToGrid w:val="0"/>
              <w:spacing w:line="360" w:lineRule="exact"/>
              <w:ind w:firstLine="420" w:firstLineChars="200"/>
              <w:rPr>
                <w:rFonts w:hint="eastAsia" w:ascii="宋体" w:hAnsi="宋体"/>
                <w:bCs/>
                <w:szCs w:val="21"/>
                <w:highlight w:val="none"/>
              </w:rPr>
            </w:pPr>
            <w:r>
              <w:rPr>
                <w:rFonts w:hint="eastAsia" w:ascii="宋体" w:hAnsi="宋体"/>
                <w:bCs/>
                <w:szCs w:val="21"/>
                <w:highlight w:val="none"/>
              </w:rPr>
              <w:t>标准</w:t>
            </w:r>
          </w:p>
        </w:tc>
        <w:tc>
          <w:tcPr>
            <w:tcW w:w="3834" w:type="pct"/>
            <w:tcBorders>
              <w:top w:val="single" w:color="auto" w:sz="4" w:space="0"/>
            </w:tcBorders>
          </w:tcPr>
          <w:p w14:paraId="3ABBD3AE">
            <w:pPr>
              <w:adjustRightInd w:val="0"/>
              <w:snapToGrid w:val="0"/>
              <w:spacing w:line="360" w:lineRule="exact"/>
              <w:ind w:firstLine="210" w:firstLineChars="100"/>
              <w:rPr>
                <w:rFonts w:hint="eastAsia" w:ascii="黑体" w:hAnsi="黑体" w:eastAsia="黑体"/>
                <w:bCs/>
                <w:szCs w:val="21"/>
                <w:highlight w:val="none"/>
              </w:rPr>
            </w:pPr>
            <w:r>
              <w:rPr>
                <w:rFonts w:hint="eastAsia" w:ascii="黑体" w:hAnsi="黑体" w:eastAsia="黑体"/>
                <w:bCs/>
                <w:szCs w:val="21"/>
                <w:highlight w:val="none"/>
              </w:rPr>
              <w:t>第二个信封（报价文件）评审标准：</w:t>
            </w:r>
          </w:p>
          <w:p w14:paraId="52B496BF">
            <w:pPr>
              <w:numPr>
                <w:ilvl w:val="0"/>
                <w:numId w:val="2"/>
              </w:numPr>
              <w:adjustRightInd w:val="0"/>
              <w:snapToGrid w:val="0"/>
              <w:spacing w:line="360" w:lineRule="exact"/>
              <w:ind w:left="0" w:firstLine="210" w:firstLineChars="100"/>
              <w:rPr>
                <w:rFonts w:hint="eastAsia" w:ascii="宋体" w:hAnsi="宋体"/>
                <w:bCs/>
                <w:szCs w:val="21"/>
                <w:highlight w:val="none"/>
              </w:rPr>
            </w:pPr>
            <w:r>
              <w:rPr>
                <w:rFonts w:hint="eastAsia" w:ascii="宋体" w:hAnsi="宋体"/>
                <w:bCs/>
                <w:szCs w:val="21"/>
                <w:highlight w:val="none"/>
              </w:rPr>
              <w:t>投标文件按照招标文件规定的格式、内容填写，字迹清晰可辨：</w:t>
            </w:r>
          </w:p>
          <w:p w14:paraId="750803BC">
            <w:pPr>
              <w:adjustRightInd w:val="0"/>
              <w:snapToGrid w:val="0"/>
              <w:spacing w:line="360" w:lineRule="exact"/>
              <w:ind w:firstLine="420" w:firstLineChars="200"/>
              <w:rPr>
                <w:rFonts w:hint="eastAsia" w:ascii="宋体" w:hAnsi="宋体"/>
                <w:bCs/>
                <w:szCs w:val="21"/>
                <w:highlight w:val="none"/>
              </w:rPr>
            </w:pPr>
            <w:r>
              <w:rPr>
                <w:rFonts w:hint="eastAsia" w:ascii="宋体" w:hAnsi="宋体"/>
                <w:bCs/>
                <w:szCs w:val="21"/>
                <w:highlight w:val="none"/>
              </w:rPr>
              <w:t>a.投标函按招标文件规定填报了项目名称、标段号、补遗书编号（如有）、投标价（包括大写金额和小写金额）；</w:t>
            </w:r>
          </w:p>
          <w:p w14:paraId="4F844825">
            <w:pPr>
              <w:adjustRightInd w:val="0"/>
              <w:snapToGrid w:val="0"/>
              <w:spacing w:line="360" w:lineRule="exact"/>
              <w:ind w:firstLine="420" w:firstLineChars="200"/>
              <w:rPr>
                <w:rFonts w:hint="eastAsia" w:ascii="宋体" w:hAnsi="宋体"/>
                <w:bCs/>
                <w:szCs w:val="21"/>
                <w:highlight w:val="none"/>
              </w:rPr>
            </w:pPr>
            <w:r>
              <w:rPr>
                <w:rFonts w:hint="eastAsia" w:ascii="宋体" w:hAnsi="宋体"/>
                <w:bCs/>
                <w:szCs w:val="21"/>
                <w:highlight w:val="none"/>
              </w:rPr>
              <w:t>b.投标文件组成齐全完整，内容均按规定填写。</w:t>
            </w:r>
          </w:p>
          <w:p w14:paraId="20D08F3B">
            <w:pPr>
              <w:numPr>
                <w:ilvl w:val="0"/>
                <w:numId w:val="2"/>
              </w:numPr>
              <w:adjustRightInd w:val="0"/>
              <w:snapToGrid w:val="0"/>
              <w:spacing w:line="360" w:lineRule="exact"/>
              <w:ind w:left="0" w:firstLine="210" w:firstLineChars="100"/>
              <w:rPr>
                <w:rFonts w:hint="eastAsia" w:ascii="宋体" w:hAnsi="宋体"/>
                <w:bCs/>
                <w:szCs w:val="21"/>
                <w:highlight w:val="none"/>
              </w:rPr>
            </w:pPr>
            <w:r>
              <w:rPr>
                <w:rFonts w:hint="eastAsia" w:ascii="宋体" w:hAnsi="宋体"/>
                <w:bCs/>
                <w:szCs w:val="21"/>
                <w:highlight w:val="none"/>
              </w:rPr>
              <w:t>投标文件上法定代表人或其委托代理人的签字、投标人的单位章盖章齐全，符合招标文件规定。</w:t>
            </w:r>
          </w:p>
          <w:p w14:paraId="7C139176">
            <w:pPr>
              <w:numPr>
                <w:ilvl w:val="0"/>
                <w:numId w:val="2"/>
              </w:numPr>
              <w:adjustRightInd w:val="0"/>
              <w:snapToGrid w:val="0"/>
              <w:spacing w:line="360" w:lineRule="exact"/>
              <w:ind w:left="0" w:firstLine="210" w:firstLineChars="100"/>
              <w:rPr>
                <w:rFonts w:hint="eastAsia" w:ascii="宋体" w:hAnsi="宋体"/>
                <w:bCs/>
                <w:szCs w:val="21"/>
                <w:highlight w:val="none"/>
              </w:rPr>
            </w:pPr>
            <w:r>
              <w:rPr>
                <w:rFonts w:hint="eastAsia" w:ascii="宋体" w:hAnsi="宋体"/>
                <w:bCs/>
                <w:szCs w:val="21"/>
                <w:highlight w:val="none"/>
              </w:rPr>
              <w:t>投标报价未超过招标文件设定的最高投标限价。</w:t>
            </w:r>
          </w:p>
          <w:p w14:paraId="15C06391">
            <w:pPr>
              <w:numPr>
                <w:ilvl w:val="0"/>
                <w:numId w:val="2"/>
              </w:numPr>
              <w:adjustRightInd w:val="0"/>
              <w:snapToGrid w:val="0"/>
              <w:spacing w:line="360" w:lineRule="exact"/>
              <w:ind w:left="0" w:firstLine="210" w:firstLineChars="100"/>
              <w:rPr>
                <w:rFonts w:hint="eastAsia" w:ascii="宋体" w:hAnsi="宋体"/>
                <w:bCs/>
                <w:szCs w:val="21"/>
                <w:highlight w:val="none"/>
              </w:rPr>
            </w:pPr>
            <w:r>
              <w:rPr>
                <w:rFonts w:hint="eastAsia" w:ascii="宋体" w:hAnsi="宋体"/>
                <w:bCs/>
                <w:szCs w:val="21"/>
                <w:highlight w:val="none"/>
              </w:rPr>
              <w:t>投标报价的大写金额能够确定具体数值。</w:t>
            </w:r>
          </w:p>
          <w:p w14:paraId="10B8635B">
            <w:pPr>
              <w:numPr>
                <w:ilvl w:val="0"/>
                <w:numId w:val="2"/>
              </w:numPr>
              <w:adjustRightInd w:val="0"/>
              <w:snapToGrid w:val="0"/>
              <w:spacing w:line="360" w:lineRule="exact"/>
              <w:ind w:left="0" w:firstLine="210" w:firstLineChars="100"/>
              <w:rPr>
                <w:rFonts w:hint="eastAsia" w:ascii="宋体" w:hAnsi="宋体"/>
                <w:bCs/>
                <w:szCs w:val="21"/>
                <w:highlight w:val="none"/>
              </w:rPr>
            </w:pPr>
            <w:r>
              <w:rPr>
                <w:rFonts w:hint="eastAsia" w:ascii="宋体" w:hAnsi="宋体"/>
                <w:bCs/>
                <w:szCs w:val="21"/>
                <w:highlight w:val="none"/>
              </w:rPr>
              <w:t>同一投标人同一标段未提交两个以上不同的投标报价。</w:t>
            </w:r>
          </w:p>
          <w:p w14:paraId="0CC85DF2">
            <w:pPr>
              <w:numPr>
                <w:ilvl w:val="0"/>
                <w:numId w:val="2"/>
              </w:numPr>
              <w:adjustRightInd w:val="0"/>
              <w:snapToGrid w:val="0"/>
              <w:spacing w:line="360" w:lineRule="exact"/>
              <w:ind w:left="0" w:firstLine="210" w:firstLineChars="100"/>
              <w:rPr>
                <w:rFonts w:hint="eastAsia" w:ascii="宋体" w:hAnsi="宋体"/>
                <w:bCs/>
                <w:szCs w:val="21"/>
                <w:highlight w:val="none"/>
              </w:rPr>
            </w:pPr>
            <w:r>
              <w:rPr>
                <w:rFonts w:hint="eastAsia" w:ascii="宋体" w:hAnsi="宋体"/>
                <w:bCs/>
                <w:szCs w:val="21"/>
                <w:highlight w:val="none"/>
              </w:rPr>
              <w:t>投标人填写工程量固化清单，填写完毕的工程量固化清单未对工程量固化清单电子文件中的数据、格式和运算定义进行修改；工程量固化清单中的投标报价和投标函大写金额报价一致。</w:t>
            </w:r>
          </w:p>
        </w:tc>
      </w:tr>
      <w:tr w14:paraId="344F36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jc w:val="center"/>
        </w:trPr>
        <w:tc>
          <w:tcPr>
            <w:tcW w:w="445" w:type="pct"/>
            <w:tcBorders>
              <w:bottom w:val="single" w:color="auto" w:sz="4" w:space="0"/>
            </w:tcBorders>
            <w:vAlign w:val="center"/>
          </w:tcPr>
          <w:p w14:paraId="1CCB287F">
            <w:pPr>
              <w:autoSpaceDE w:val="0"/>
              <w:autoSpaceDN w:val="0"/>
              <w:adjustRightInd w:val="0"/>
              <w:snapToGrid w:val="0"/>
              <w:spacing w:line="340" w:lineRule="exact"/>
              <w:ind w:firstLine="210" w:firstLineChars="100"/>
              <w:rPr>
                <w:rFonts w:hint="eastAsia" w:ascii="宋体" w:hAnsi="宋体"/>
                <w:bCs/>
                <w:szCs w:val="21"/>
                <w:highlight w:val="none"/>
              </w:rPr>
            </w:pPr>
            <w:r>
              <w:rPr>
                <w:rFonts w:ascii="宋体" w:hAnsi="宋体"/>
                <w:bCs/>
                <w:szCs w:val="21"/>
                <w:highlight w:val="none"/>
              </w:rPr>
              <w:t>2.1.2</w:t>
            </w:r>
          </w:p>
        </w:tc>
        <w:tc>
          <w:tcPr>
            <w:tcW w:w="721" w:type="pct"/>
            <w:tcBorders>
              <w:bottom w:val="single" w:color="auto" w:sz="4" w:space="0"/>
            </w:tcBorders>
            <w:vAlign w:val="center"/>
          </w:tcPr>
          <w:p w14:paraId="38DD63AF">
            <w:pPr>
              <w:adjustRightInd w:val="0"/>
              <w:snapToGrid w:val="0"/>
              <w:spacing w:line="360" w:lineRule="exact"/>
              <w:jc w:val="center"/>
              <w:rPr>
                <w:rFonts w:hint="eastAsia" w:ascii="宋体" w:hAnsi="宋体"/>
                <w:bCs/>
                <w:szCs w:val="21"/>
                <w:highlight w:val="none"/>
              </w:rPr>
            </w:pPr>
            <w:r>
              <w:rPr>
                <w:rFonts w:hint="eastAsia" w:ascii="宋体" w:hAnsi="宋体"/>
                <w:bCs/>
                <w:szCs w:val="21"/>
                <w:highlight w:val="none"/>
              </w:rPr>
              <w:t>资格评审</w:t>
            </w:r>
          </w:p>
          <w:p w14:paraId="2045F85C">
            <w:pPr>
              <w:adjustRightInd w:val="0"/>
              <w:snapToGrid w:val="0"/>
              <w:spacing w:line="360" w:lineRule="exact"/>
              <w:jc w:val="center"/>
              <w:rPr>
                <w:rFonts w:hint="eastAsia" w:ascii="宋体" w:hAnsi="宋体"/>
                <w:bCs/>
                <w:szCs w:val="21"/>
                <w:highlight w:val="none"/>
              </w:rPr>
            </w:pPr>
            <w:r>
              <w:rPr>
                <w:rFonts w:hint="eastAsia" w:ascii="宋体" w:hAnsi="宋体"/>
                <w:bCs/>
                <w:szCs w:val="21"/>
                <w:highlight w:val="none"/>
              </w:rPr>
              <w:t>标准</w:t>
            </w:r>
          </w:p>
        </w:tc>
        <w:tc>
          <w:tcPr>
            <w:tcW w:w="3834" w:type="pct"/>
            <w:tcBorders>
              <w:bottom w:val="single" w:color="auto" w:sz="4" w:space="0"/>
            </w:tcBorders>
          </w:tcPr>
          <w:p w14:paraId="19F82D51">
            <w:pPr>
              <w:numPr>
                <w:ilvl w:val="0"/>
                <w:numId w:val="3"/>
              </w:numPr>
              <w:adjustRightInd w:val="0"/>
              <w:snapToGrid w:val="0"/>
              <w:spacing w:line="360" w:lineRule="exact"/>
              <w:ind w:left="0" w:firstLine="210" w:firstLineChars="100"/>
              <w:rPr>
                <w:rFonts w:hint="eastAsia" w:ascii="宋体" w:hAnsi="宋体"/>
                <w:bCs/>
                <w:szCs w:val="21"/>
                <w:highlight w:val="none"/>
              </w:rPr>
            </w:pPr>
            <w:r>
              <w:rPr>
                <w:rFonts w:hint="eastAsia" w:ascii="宋体" w:hAnsi="宋体"/>
                <w:bCs/>
                <w:szCs w:val="21"/>
                <w:highlight w:val="none"/>
              </w:rPr>
              <w:t>投标人具备有效的营业执照、资质证书、安全生产许可证、基本账户开户许可证（或基本账户开户其他证明材料）。</w:t>
            </w:r>
          </w:p>
          <w:p w14:paraId="60EF3C90">
            <w:pPr>
              <w:numPr>
                <w:ilvl w:val="0"/>
                <w:numId w:val="3"/>
              </w:numPr>
              <w:adjustRightInd w:val="0"/>
              <w:snapToGrid w:val="0"/>
              <w:spacing w:line="360" w:lineRule="exact"/>
              <w:ind w:left="0" w:firstLine="210" w:firstLineChars="100"/>
              <w:rPr>
                <w:rFonts w:hint="eastAsia" w:ascii="宋体" w:hAnsi="宋体"/>
                <w:bCs/>
                <w:szCs w:val="21"/>
                <w:highlight w:val="none"/>
              </w:rPr>
            </w:pPr>
            <w:r>
              <w:rPr>
                <w:rFonts w:hint="eastAsia" w:ascii="宋体" w:hAnsi="宋体"/>
                <w:bCs/>
                <w:szCs w:val="21"/>
                <w:highlight w:val="none"/>
              </w:rPr>
              <w:t>投标人的资质等级符合招标文件规定。</w:t>
            </w:r>
          </w:p>
          <w:p w14:paraId="35E16013">
            <w:pPr>
              <w:numPr>
                <w:ilvl w:val="0"/>
                <w:numId w:val="3"/>
              </w:numPr>
              <w:adjustRightInd w:val="0"/>
              <w:snapToGrid w:val="0"/>
              <w:spacing w:line="360" w:lineRule="exact"/>
              <w:ind w:left="0" w:firstLine="210" w:firstLineChars="100"/>
              <w:rPr>
                <w:rFonts w:hint="eastAsia" w:ascii="宋体" w:hAnsi="宋体"/>
                <w:bCs/>
                <w:szCs w:val="21"/>
                <w:highlight w:val="none"/>
              </w:rPr>
            </w:pPr>
            <w:r>
              <w:rPr>
                <w:rFonts w:hint="eastAsia" w:ascii="宋体" w:hAnsi="宋体"/>
                <w:bCs/>
                <w:szCs w:val="21"/>
                <w:highlight w:val="none"/>
              </w:rPr>
              <w:t>投标人的财务状况符合招标文件规定。</w:t>
            </w:r>
          </w:p>
          <w:p w14:paraId="1570DC75">
            <w:pPr>
              <w:numPr>
                <w:ilvl w:val="0"/>
                <w:numId w:val="3"/>
              </w:numPr>
              <w:adjustRightInd w:val="0"/>
              <w:snapToGrid w:val="0"/>
              <w:spacing w:line="360" w:lineRule="exact"/>
              <w:ind w:left="0" w:firstLine="210" w:firstLineChars="100"/>
              <w:rPr>
                <w:rFonts w:hint="eastAsia" w:ascii="宋体" w:hAnsi="宋体"/>
                <w:bCs/>
                <w:szCs w:val="21"/>
                <w:highlight w:val="none"/>
              </w:rPr>
            </w:pPr>
            <w:r>
              <w:rPr>
                <w:rFonts w:ascii="宋体" w:hAnsi="宋体"/>
                <w:bCs/>
                <w:szCs w:val="21"/>
                <w:highlight w:val="none"/>
              </w:rPr>
              <w:t>投标人的类似项目业绩符合招标文件规定。</w:t>
            </w:r>
          </w:p>
          <w:p w14:paraId="4076BD25">
            <w:pPr>
              <w:numPr>
                <w:ilvl w:val="0"/>
                <w:numId w:val="3"/>
              </w:numPr>
              <w:adjustRightInd w:val="0"/>
              <w:snapToGrid w:val="0"/>
              <w:spacing w:line="360" w:lineRule="exact"/>
              <w:ind w:left="0" w:firstLine="210" w:firstLineChars="100"/>
              <w:rPr>
                <w:rFonts w:hint="eastAsia" w:ascii="宋体" w:hAnsi="宋体"/>
                <w:bCs/>
                <w:szCs w:val="21"/>
                <w:highlight w:val="none"/>
              </w:rPr>
            </w:pPr>
            <w:r>
              <w:rPr>
                <w:rFonts w:hint="eastAsia" w:ascii="宋体" w:hAnsi="宋体"/>
                <w:bCs/>
                <w:szCs w:val="21"/>
                <w:highlight w:val="none"/>
              </w:rPr>
              <w:t>投标人的信誉符合招标文件规定。</w:t>
            </w:r>
          </w:p>
          <w:p w14:paraId="01CBC537">
            <w:pPr>
              <w:numPr>
                <w:ilvl w:val="0"/>
                <w:numId w:val="3"/>
              </w:numPr>
              <w:adjustRightInd w:val="0"/>
              <w:snapToGrid w:val="0"/>
              <w:spacing w:line="360" w:lineRule="exact"/>
              <w:ind w:left="0" w:firstLine="210" w:firstLineChars="100"/>
              <w:rPr>
                <w:rFonts w:hint="eastAsia" w:ascii="宋体" w:hAnsi="宋体"/>
                <w:bCs/>
                <w:szCs w:val="21"/>
                <w:highlight w:val="none"/>
              </w:rPr>
            </w:pPr>
            <w:r>
              <w:rPr>
                <w:rFonts w:hint="eastAsia" w:ascii="宋体" w:hAnsi="宋体"/>
                <w:bCs/>
                <w:szCs w:val="21"/>
                <w:highlight w:val="none"/>
              </w:rPr>
              <w:t>投标人的项目经理和项目总工资格、在岗情况符合招标文件规定。</w:t>
            </w:r>
          </w:p>
          <w:p w14:paraId="4BF72219">
            <w:pPr>
              <w:numPr>
                <w:ilvl w:val="0"/>
                <w:numId w:val="3"/>
              </w:numPr>
              <w:adjustRightInd w:val="0"/>
              <w:snapToGrid w:val="0"/>
              <w:spacing w:line="360" w:lineRule="exact"/>
              <w:ind w:left="0" w:firstLine="210" w:firstLineChars="100"/>
              <w:rPr>
                <w:rFonts w:hint="eastAsia" w:ascii="宋体" w:hAnsi="宋体"/>
                <w:bCs/>
                <w:szCs w:val="21"/>
                <w:highlight w:val="none"/>
              </w:rPr>
            </w:pPr>
            <w:r>
              <w:rPr>
                <w:rFonts w:hint="eastAsia" w:ascii="宋体" w:hAnsi="宋体"/>
                <w:bCs/>
                <w:szCs w:val="21"/>
                <w:highlight w:val="none"/>
              </w:rPr>
              <w:t>投标人的其他要求符合招标文件规定。</w:t>
            </w:r>
          </w:p>
          <w:p w14:paraId="6FBE28C1">
            <w:pPr>
              <w:numPr>
                <w:ilvl w:val="0"/>
                <w:numId w:val="3"/>
              </w:numPr>
              <w:adjustRightInd w:val="0"/>
              <w:snapToGrid w:val="0"/>
              <w:spacing w:line="360" w:lineRule="exact"/>
              <w:ind w:left="0" w:firstLine="210" w:firstLineChars="100"/>
              <w:rPr>
                <w:rFonts w:hint="eastAsia" w:ascii="宋体" w:hAnsi="宋体"/>
                <w:bCs/>
                <w:szCs w:val="21"/>
                <w:highlight w:val="none"/>
              </w:rPr>
            </w:pPr>
            <w:r>
              <w:rPr>
                <w:rFonts w:hint="eastAsia" w:ascii="宋体" w:hAnsi="宋体"/>
                <w:bCs/>
                <w:szCs w:val="21"/>
                <w:highlight w:val="none"/>
              </w:rPr>
              <w:t>投标人不存在第二章“投标人须知”第1.4.3项或第1.4.4项规定的任何一种情形。</w:t>
            </w:r>
          </w:p>
          <w:p w14:paraId="28E91B72">
            <w:pPr>
              <w:numPr>
                <w:ilvl w:val="0"/>
                <w:numId w:val="3"/>
              </w:numPr>
              <w:adjustRightInd w:val="0"/>
              <w:snapToGrid w:val="0"/>
              <w:spacing w:line="360" w:lineRule="exact"/>
              <w:ind w:left="0" w:firstLine="210" w:firstLineChars="100"/>
              <w:rPr>
                <w:rFonts w:hint="eastAsia" w:ascii="楷体" w:hAnsi="楷体" w:eastAsia="楷体"/>
                <w:bCs/>
                <w:szCs w:val="21"/>
                <w:highlight w:val="none"/>
              </w:rPr>
            </w:pPr>
            <w:r>
              <w:rPr>
                <w:rFonts w:hint="eastAsia" w:ascii="宋体" w:hAnsi="宋体"/>
                <w:bCs/>
                <w:szCs w:val="21"/>
                <w:highlight w:val="none"/>
              </w:rPr>
              <w:t>以联合体形式参与投标的，联合体各方均未再以自己名义单独或参加其他联合体在同一标段中投标；独立参与投标的，投标人未同时参加联合体在同一标段中投标。</w:t>
            </w:r>
          </w:p>
          <w:p w14:paraId="4DB5035F">
            <w:pPr>
              <w:numPr>
                <w:ilvl w:val="0"/>
                <w:numId w:val="3"/>
              </w:numPr>
              <w:adjustRightInd w:val="0"/>
              <w:snapToGrid w:val="0"/>
              <w:spacing w:line="360" w:lineRule="exact"/>
              <w:ind w:left="0" w:firstLine="210" w:firstLineChars="100"/>
              <w:rPr>
                <w:rFonts w:hint="eastAsia" w:ascii="楷体" w:hAnsi="楷体" w:eastAsia="楷体"/>
                <w:bCs/>
                <w:szCs w:val="21"/>
                <w:highlight w:val="none"/>
              </w:rPr>
            </w:pPr>
            <w:r>
              <w:rPr>
                <w:rFonts w:hint="eastAsia" w:ascii="黑体" w:hAnsi="黑体" w:eastAsia="黑体"/>
                <w:bCs/>
                <w:szCs w:val="21"/>
                <w:highlight w:val="none"/>
              </w:rPr>
              <w:t>YB26YH04、YB26YH05标段</w:t>
            </w:r>
            <w:r>
              <w:rPr>
                <w:rFonts w:hint="eastAsia" w:ascii="宋体" w:hAnsi="宋体"/>
                <w:bCs/>
                <w:szCs w:val="21"/>
                <w:highlight w:val="none"/>
              </w:rPr>
              <w:t>：投标人符合第二章“投标人须知”第1.4.5项规定（</w:t>
            </w:r>
            <w:r>
              <w:rPr>
                <w:rFonts w:hint="eastAsia" w:ascii="宋体" w:hAnsi="宋体"/>
                <w:bCs/>
                <w:szCs w:val="21"/>
                <w:highlight w:val="none"/>
                <w:lang w:bidi="en-US"/>
              </w:rPr>
              <w:t>仅适用于</w:t>
            </w:r>
            <w:r>
              <w:rPr>
                <w:rFonts w:hint="eastAsia" w:ascii="宋体" w:hAnsi="宋体"/>
                <w:bCs/>
                <w:szCs w:val="21"/>
                <w:highlight w:val="none"/>
              </w:rPr>
              <w:t>公路机电工程分项资质）。</w:t>
            </w:r>
          </w:p>
        </w:tc>
      </w:tr>
      <w:tr w14:paraId="07A77A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445" w:type="pct"/>
            <w:tcBorders>
              <w:top w:val="single" w:color="000000" w:sz="4" w:space="0"/>
              <w:left w:val="single" w:color="000000" w:sz="4" w:space="0"/>
              <w:bottom w:val="single" w:color="auto" w:sz="4" w:space="0"/>
              <w:right w:val="single" w:color="000000" w:sz="4" w:space="0"/>
            </w:tcBorders>
            <w:vAlign w:val="center"/>
          </w:tcPr>
          <w:p w14:paraId="5DED3775">
            <w:pPr>
              <w:autoSpaceDE w:val="0"/>
              <w:autoSpaceDN w:val="0"/>
              <w:adjustRightInd w:val="0"/>
              <w:snapToGrid w:val="0"/>
              <w:spacing w:line="340" w:lineRule="exact"/>
              <w:ind w:firstLine="210" w:firstLineChars="100"/>
              <w:rPr>
                <w:rFonts w:hint="eastAsia" w:ascii="宋体" w:hAnsi="宋体"/>
                <w:bCs/>
                <w:szCs w:val="21"/>
                <w:highlight w:val="none"/>
              </w:rPr>
            </w:pPr>
            <w:r>
              <w:rPr>
                <w:rFonts w:ascii="宋体" w:hAnsi="宋体"/>
                <w:bCs/>
                <w:szCs w:val="21"/>
                <w:highlight w:val="none"/>
              </w:rPr>
              <w:t>2.2.1</w:t>
            </w:r>
          </w:p>
        </w:tc>
        <w:tc>
          <w:tcPr>
            <w:tcW w:w="721" w:type="pct"/>
            <w:tcBorders>
              <w:top w:val="single" w:color="000000" w:sz="4" w:space="0"/>
              <w:left w:val="single" w:color="000000" w:sz="4" w:space="0"/>
              <w:bottom w:val="single" w:color="auto" w:sz="4" w:space="0"/>
              <w:right w:val="single" w:color="000000" w:sz="4" w:space="0"/>
            </w:tcBorders>
            <w:vAlign w:val="center"/>
          </w:tcPr>
          <w:p w14:paraId="70757B16">
            <w:pPr>
              <w:adjustRightInd w:val="0"/>
              <w:snapToGrid w:val="0"/>
              <w:spacing w:line="360" w:lineRule="exact"/>
              <w:jc w:val="center"/>
              <w:rPr>
                <w:rFonts w:hint="eastAsia" w:ascii="宋体" w:hAnsi="宋体"/>
                <w:bCs/>
                <w:szCs w:val="21"/>
                <w:highlight w:val="none"/>
              </w:rPr>
            </w:pPr>
            <w:r>
              <w:rPr>
                <w:rFonts w:hint="eastAsia" w:ascii="宋体" w:hAnsi="宋体"/>
                <w:bCs/>
                <w:szCs w:val="21"/>
                <w:highlight w:val="none"/>
              </w:rPr>
              <w:t>第一个信封</w:t>
            </w:r>
          </w:p>
          <w:p w14:paraId="65FFF74C">
            <w:pPr>
              <w:adjustRightInd w:val="0"/>
              <w:snapToGrid w:val="0"/>
              <w:spacing w:line="360" w:lineRule="exact"/>
              <w:jc w:val="center"/>
              <w:rPr>
                <w:rFonts w:hint="eastAsia" w:ascii="宋体" w:hAnsi="宋体"/>
                <w:bCs/>
                <w:szCs w:val="21"/>
                <w:highlight w:val="none"/>
              </w:rPr>
            </w:pPr>
            <w:r>
              <w:rPr>
                <w:rFonts w:hint="eastAsia" w:ascii="宋体" w:hAnsi="宋体"/>
                <w:bCs/>
                <w:szCs w:val="21"/>
                <w:highlight w:val="none"/>
              </w:rPr>
              <w:t>评分分值构成（总分</w:t>
            </w:r>
            <w:r>
              <w:rPr>
                <w:rFonts w:ascii="宋体" w:hAnsi="宋体"/>
                <w:bCs/>
                <w:szCs w:val="21"/>
                <w:highlight w:val="none"/>
              </w:rPr>
              <w:t>100</w:t>
            </w:r>
            <w:r>
              <w:rPr>
                <w:rFonts w:hint="eastAsia" w:ascii="宋体" w:hAnsi="宋体"/>
                <w:bCs/>
                <w:szCs w:val="21"/>
                <w:highlight w:val="none"/>
              </w:rPr>
              <w:t>分）</w:t>
            </w:r>
          </w:p>
        </w:tc>
        <w:tc>
          <w:tcPr>
            <w:tcW w:w="3834" w:type="pct"/>
            <w:tcBorders>
              <w:top w:val="single" w:color="000000" w:sz="4" w:space="0"/>
              <w:left w:val="single" w:color="000000" w:sz="4" w:space="0"/>
              <w:bottom w:val="single" w:color="auto" w:sz="4" w:space="0"/>
              <w:right w:val="single" w:color="000000" w:sz="4" w:space="0"/>
            </w:tcBorders>
          </w:tcPr>
          <w:p w14:paraId="63840519">
            <w:pPr>
              <w:adjustRightInd w:val="0"/>
              <w:snapToGrid w:val="0"/>
              <w:spacing w:line="360" w:lineRule="exact"/>
              <w:ind w:firstLine="210" w:firstLineChars="100"/>
              <w:rPr>
                <w:rFonts w:hint="eastAsia" w:ascii="宋体" w:hAnsi="宋体"/>
                <w:bCs/>
                <w:szCs w:val="21"/>
                <w:highlight w:val="none"/>
              </w:rPr>
            </w:pPr>
            <w:r>
              <w:rPr>
                <w:rFonts w:hint="eastAsia" w:ascii="宋体" w:hAnsi="宋体"/>
                <w:bCs/>
                <w:szCs w:val="21"/>
                <w:highlight w:val="none"/>
              </w:rPr>
              <w:t>施工组织设计：40分</w:t>
            </w:r>
          </w:p>
          <w:p w14:paraId="5AC47F59">
            <w:pPr>
              <w:adjustRightInd w:val="0"/>
              <w:snapToGrid w:val="0"/>
              <w:spacing w:line="360" w:lineRule="exact"/>
              <w:ind w:firstLine="210" w:firstLineChars="100"/>
              <w:rPr>
                <w:rFonts w:hint="eastAsia" w:ascii="宋体" w:hAnsi="宋体"/>
                <w:bCs/>
                <w:szCs w:val="21"/>
                <w:highlight w:val="none"/>
              </w:rPr>
            </w:pPr>
            <w:r>
              <w:rPr>
                <w:rFonts w:hint="eastAsia" w:ascii="宋体" w:hAnsi="宋体"/>
                <w:bCs/>
                <w:szCs w:val="21"/>
                <w:highlight w:val="none"/>
              </w:rPr>
              <w:t>主要人员：25分</w:t>
            </w:r>
          </w:p>
          <w:p w14:paraId="2DA376CC">
            <w:pPr>
              <w:adjustRightInd w:val="0"/>
              <w:snapToGrid w:val="0"/>
              <w:spacing w:line="360" w:lineRule="exact"/>
              <w:ind w:firstLine="210" w:firstLineChars="100"/>
              <w:rPr>
                <w:rFonts w:hint="eastAsia" w:ascii="宋体" w:hAnsi="宋体"/>
                <w:bCs/>
                <w:szCs w:val="21"/>
                <w:highlight w:val="none"/>
              </w:rPr>
            </w:pPr>
            <w:r>
              <w:rPr>
                <w:rFonts w:hint="eastAsia" w:ascii="宋体" w:hAnsi="宋体"/>
                <w:bCs/>
                <w:szCs w:val="21"/>
                <w:highlight w:val="none"/>
              </w:rPr>
              <w:t>企业业绩：20分</w:t>
            </w:r>
          </w:p>
          <w:p w14:paraId="3E421189">
            <w:pPr>
              <w:adjustRightInd w:val="0"/>
              <w:snapToGrid w:val="0"/>
              <w:spacing w:line="360" w:lineRule="exact"/>
              <w:ind w:firstLine="210" w:firstLineChars="100"/>
              <w:rPr>
                <w:rFonts w:hint="eastAsia" w:ascii="宋体" w:hAnsi="宋体"/>
                <w:bCs/>
                <w:szCs w:val="21"/>
                <w:highlight w:val="none"/>
              </w:rPr>
            </w:pPr>
            <w:r>
              <w:rPr>
                <w:rFonts w:hint="eastAsia" w:ascii="宋体" w:hAnsi="宋体"/>
                <w:bCs/>
                <w:szCs w:val="21"/>
                <w:highlight w:val="none"/>
              </w:rPr>
              <w:t>履约信誉：15分</w:t>
            </w:r>
          </w:p>
        </w:tc>
      </w:tr>
      <w:tr w14:paraId="3F2F80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05" w:hRule="atLeast"/>
          <w:jc w:val="center"/>
        </w:trPr>
        <w:tc>
          <w:tcPr>
            <w:tcW w:w="445" w:type="pct"/>
            <w:tcBorders>
              <w:top w:val="single" w:color="000000" w:sz="4" w:space="0"/>
              <w:left w:val="single" w:color="000000" w:sz="4" w:space="0"/>
              <w:bottom w:val="single" w:color="auto" w:sz="4" w:space="0"/>
              <w:right w:val="single" w:color="000000" w:sz="4" w:space="0"/>
            </w:tcBorders>
            <w:vAlign w:val="center"/>
          </w:tcPr>
          <w:p w14:paraId="3F146B01">
            <w:pPr>
              <w:autoSpaceDE w:val="0"/>
              <w:autoSpaceDN w:val="0"/>
              <w:adjustRightInd w:val="0"/>
              <w:snapToGrid w:val="0"/>
              <w:spacing w:line="340" w:lineRule="exact"/>
              <w:ind w:firstLine="210" w:firstLineChars="100"/>
              <w:rPr>
                <w:rFonts w:hint="eastAsia" w:ascii="宋体" w:hAnsi="宋体"/>
                <w:bCs/>
                <w:szCs w:val="21"/>
                <w:highlight w:val="none"/>
              </w:rPr>
            </w:pPr>
            <w:r>
              <w:rPr>
                <w:rFonts w:hint="eastAsia" w:ascii="宋体" w:hAnsi="宋体"/>
                <w:bCs/>
                <w:szCs w:val="21"/>
                <w:highlight w:val="none"/>
              </w:rPr>
              <w:t>2.2.</w:t>
            </w:r>
            <w:r>
              <w:rPr>
                <w:rFonts w:ascii="宋体" w:hAnsi="宋体"/>
                <w:bCs/>
                <w:szCs w:val="21"/>
                <w:highlight w:val="none"/>
              </w:rPr>
              <w:t>3</w:t>
            </w:r>
          </w:p>
        </w:tc>
        <w:tc>
          <w:tcPr>
            <w:tcW w:w="721" w:type="pct"/>
            <w:tcBorders>
              <w:top w:val="single" w:color="000000" w:sz="4" w:space="0"/>
              <w:left w:val="single" w:color="000000" w:sz="4" w:space="0"/>
              <w:bottom w:val="single" w:color="auto" w:sz="4" w:space="0"/>
              <w:right w:val="single" w:color="000000" w:sz="4" w:space="0"/>
            </w:tcBorders>
            <w:vAlign w:val="center"/>
          </w:tcPr>
          <w:p w14:paraId="0D59D6AA">
            <w:pPr>
              <w:adjustRightInd w:val="0"/>
              <w:snapToGrid w:val="0"/>
              <w:spacing w:line="360" w:lineRule="exact"/>
              <w:jc w:val="center"/>
              <w:rPr>
                <w:rFonts w:hint="eastAsia" w:ascii="宋体" w:hAnsi="宋体"/>
                <w:bCs/>
                <w:szCs w:val="21"/>
                <w:highlight w:val="none"/>
              </w:rPr>
            </w:pPr>
            <w:r>
              <w:rPr>
                <w:rFonts w:hint="eastAsia" w:ascii="宋体" w:hAnsi="宋体"/>
                <w:bCs/>
                <w:szCs w:val="21"/>
                <w:highlight w:val="none"/>
              </w:rPr>
              <w:t>第二个信封</w:t>
            </w:r>
          </w:p>
          <w:p w14:paraId="4A8CEE4E">
            <w:pPr>
              <w:adjustRightInd w:val="0"/>
              <w:snapToGrid w:val="0"/>
              <w:spacing w:line="360" w:lineRule="exact"/>
              <w:jc w:val="center"/>
              <w:rPr>
                <w:rFonts w:hint="eastAsia" w:ascii="宋体" w:hAnsi="宋体"/>
                <w:bCs/>
                <w:szCs w:val="21"/>
                <w:highlight w:val="none"/>
              </w:rPr>
            </w:pPr>
            <w:r>
              <w:rPr>
                <w:rFonts w:hint="eastAsia" w:ascii="宋体" w:hAnsi="宋体"/>
                <w:bCs/>
                <w:szCs w:val="21"/>
                <w:highlight w:val="none"/>
              </w:rPr>
              <w:t>详细评审标准</w:t>
            </w:r>
          </w:p>
        </w:tc>
        <w:tc>
          <w:tcPr>
            <w:tcW w:w="3834" w:type="pct"/>
            <w:tcBorders>
              <w:top w:val="single" w:color="000000" w:sz="4" w:space="0"/>
              <w:left w:val="single" w:color="000000" w:sz="4" w:space="0"/>
              <w:bottom w:val="single" w:color="auto" w:sz="4" w:space="0"/>
              <w:right w:val="single" w:color="000000" w:sz="4" w:space="0"/>
            </w:tcBorders>
            <w:vAlign w:val="center"/>
          </w:tcPr>
          <w:p w14:paraId="1B9F092B">
            <w:pPr>
              <w:adjustRightInd w:val="0"/>
              <w:snapToGrid w:val="0"/>
              <w:spacing w:line="360" w:lineRule="exact"/>
              <w:ind w:firstLine="210" w:firstLineChars="100"/>
              <w:rPr>
                <w:rFonts w:hint="eastAsia" w:ascii="宋体" w:hAnsi="宋体"/>
                <w:bCs/>
                <w:szCs w:val="21"/>
                <w:highlight w:val="none"/>
              </w:rPr>
            </w:pPr>
            <w:r>
              <w:rPr>
                <w:rFonts w:hint="eastAsia" w:ascii="宋体" w:hAnsi="宋体"/>
                <w:bCs/>
                <w:szCs w:val="21"/>
                <w:highlight w:val="none"/>
              </w:rPr>
              <w:t>评标价计算公式：评标价=投标函文字报价-暂估价-暂列金额（不含计日工总额）</w:t>
            </w:r>
          </w:p>
        </w:tc>
      </w:tr>
      <w:tr w14:paraId="3399AF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 w:hRule="atLeast"/>
          <w:jc w:val="center"/>
        </w:trPr>
        <w:tc>
          <w:tcPr>
            <w:tcW w:w="445" w:type="pct"/>
            <w:tcBorders>
              <w:top w:val="single" w:color="000000" w:sz="4" w:space="0"/>
              <w:left w:val="single" w:color="000000" w:sz="4" w:space="0"/>
              <w:bottom w:val="single" w:color="000000" w:sz="4" w:space="0"/>
              <w:right w:val="single" w:color="000000" w:sz="4" w:space="0"/>
            </w:tcBorders>
            <w:vAlign w:val="center"/>
          </w:tcPr>
          <w:p w14:paraId="1C618C17">
            <w:pPr>
              <w:autoSpaceDE w:val="0"/>
              <w:autoSpaceDN w:val="0"/>
              <w:adjustRightInd w:val="0"/>
              <w:snapToGrid w:val="0"/>
              <w:spacing w:line="340" w:lineRule="exact"/>
              <w:ind w:firstLine="210" w:firstLineChars="100"/>
              <w:rPr>
                <w:rFonts w:hint="eastAsia" w:ascii="宋体" w:hAnsi="宋体"/>
                <w:bCs/>
                <w:szCs w:val="21"/>
                <w:highlight w:val="none"/>
              </w:rPr>
            </w:pPr>
            <w:r>
              <w:rPr>
                <w:rFonts w:hint="eastAsia" w:ascii="宋体" w:hAnsi="宋体"/>
                <w:bCs/>
                <w:szCs w:val="21"/>
                <w:highlight w:val="none"/>
              </w:rPr>
              <w:t>3.2.4</w:t>
            </w:r>
          </w:p>
        </w:tc>
        <w:tc>
          <w:tcPr>
            <w:tcW w:w="721" w:type="pct"/>
            <w:tcBorders>
              <w:top w:val="single" w:color="000000" w:sz="4" w:space="0"/>
              <w:left w:val="single" w:color="000000" w:sz="4" w:space="0"/>
              <w:bottom w:val="single" w:color="000000" w:sz="4" w:space="0"/>
              <w:right w:val="single" w:color="000000" w:sz="4" w:space="0"/>
            </w:tcBorders>
            <w:vAlign w:val="center"/>
          </w:tcPr>
          <w:p w14:paraId="6547FCCF">
            <w:pPr>
              <w:adjustRightInd w:val="0"/>
              <w:snapToGrid w:val="0"/>
              <w:spacing w:line="360" w:lineRule="exact"/>
              <w:jc w:val="center"/>
              <w:rPr>
                <w:rFonts w:hint="eastAsia" w:ascii="宋体" w:hAnsi="宋体"/>
                <w:bCs/>
                <w:szCs w:val="21"/>
                <w:highlight w:val="none"/>
              </w:rPr>
            </w:pPr>
            <w:r>
              <w:rPr>
                <w:rFonts w:hint="eastAsia" w:ascii="宋体" w:hAnsi="宋体"/>
                <w:bCs/>
                <w:szCs w:val="21"/>
                <w:highlight w:val="none"/>
              </w:rPr>
              <w:t>通过第一个</w:t>
            </w:r>
          </w:p>
          <w:p w14:paraId="15BA82B8">
            <w:pPr>
              <w:adjustRightInd w:val="0"/>
              <w:snapToGrid w:val="0"/>
              <w:spacing w:line="360" w:lineRule="exact"/>
              <w:jc w:val="center"/>
              <w:rPr>
                <w:rFonts w:hint="eastAsia" w:ascii="宋体" w:hAnsi="宋体"/>
                <w:bCs/>
                <w:szCs w:val="21"/>
                <w:highlight w:val="none"/>
              </w:rPr>
            </w:pPr>
            <w:r>
              <w:rPr>
                <w:rFonts w:hint="eastAsia" w:ascii="宋体" w:hAnsi="宋体"/>
                <w:bCs/>
                <w:szCs w:val="21"/>
                <w:highlight w:val="none"/>
              </w:rPr>
              <w:t>信封详细评审的投标人数量</w:t>
            </w:r>
          </w:p>
        </w:tc>
        <w:tc>
          <w:tcPr>
            <w:tcW w:w="3834" w:type="pct"/>
            <w:tcBorders>
              <w:top w:val="single" w:color="000000" w:sz="4" w:space="0"/>
              <w:left w:val="single" w:color="000000" w:sz="4" w:space="0"/>
              <w:bottom w:val="single" w:color="000000" w:sz="4" w:space="0"/>
              <w:right w:val="single" w:color="000000" w:sz="4" w:space="0"/>
            </w:tcBorders>
          </w:tcPr>
          <w:p w14:paraId="2F358770">
            <w:pPr>
              <w:adjustRightInd w:val="0"/>
              <w:snapToGrid w:val="0"/>
              <w:spacing w:line="360" w:lineRule="exact"/>
              <w:ind w:firstLine="210" w:firstLineChars="100"/>
              <w:rPr>
                <w:rFonts w:hint="eastAsia" w:ascii="宋体" w:hAnsi="宋体"/>
                <w:bCs/>
                <w:szCs w:val="21"/>
                <w:highlight w:val="none"/>
              </w:rPr>
            </w:pPr>
            <w:r>
              <w:rPr>
                <w:rFonts w:hint="eastAsia" w:ascii="宋体" w:hAnsi="宋体"/>
                <w:bCs/>
                <w:szCs w:val="21"/>
                <w:highlight w:val="none"/>
              </w:rPr>
              <w:t>按照投标人的商务和技术得分由高到低排序，</w:t>
            </w:r>
            <w:r>
              <w:rPr>
                <w:rFonts w:hint="eastAsia" w:ascii="黑体" w:hAnsi="黑体" w:eastAsia="黑体"/>
                <w:bCs/>
                <w:szCs w:val="21"/>
                <w:highlight w:val="none"/>
              </w:rPr>
              <w:t>选择前3名通过第一个信封详细评审</w:t>
            </w:r>
            <w:r>
              <w:rPr>
                <w:rFonts w:hint="eastAsia" w:ascii="宋体" w:hAnsi="宋体"/>
                <w:bCs/>
                <w:szCs w:val="21"/>
                <w:highlight w:val="none"/>
              </w:rPr>
              <w:t>。如通过第一个信封详细评审的投标人数量不足3名时，由评标委员会根据法律、法规和部门规章的相关规定确定是否继续进行评标。</w:t>
            </w:r>
          </w:p>
        </w:tc>
      </w:tr>
    </w:tbl>
    <w:p w14:paraId="63609076">
      <w:pPr>
        <w:rPr>
          <w:bCs/>
          <w:szCs w:val="21"/>
          <w:highlight w:val="none"/>
        </w:rPr>
      </w:pPr>
      <w:r>
        <w:rPr>
          <w:bCs/>
          <w:highlight w:val="none"/>
        </w:rPr>
        <w:br w:type="page"/>
      </w:r>
      <w:r>
        <w:rPr>
          <w:bCs/>
          <w:highlight w:val="none"/>
        </w:rPr>
        <w:t>续上表</w:t>
      </w:r>
      <w:bookmarkEnd w:id="110"/>
      <w:bookmarkEnd w:id="111"/>
      <w:bookmarkEnd w:id="112"/>
      <w:bookmarkEnd w:id="113"/>
      <w:bookmarkEnd w:id="114"/>
      <w:bookmarkEnd w:id="115"/>
      <w:bookmarkEnd w:id="116"/>
      <w:bookmarkEnd w:id="117"/>
      <w:bookmarkEnd w:id="118"/>
      <w:bookmarkEnd w:id="119"/>
      <w:bookmarkEnd w:id="120"/>
    </w:p>
    <w:tbl>
      <w:tblPr>
        <w:tblStyle w:val="57"/>
        <w:tblW w:w="969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587"/>
        <w:gridCol w:w="1002"/>
        <w:gridCol w:w="993"/>
        <w:gridCol w:w="2266"/>
        <w:gridCol w:w="709"/>
        <w:gridCol w:w="4138"/>
      </w:tblGrid>
      <w:tr w14:paraId="57F0EE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60" w:hRule="atLeast"/>
          <w:tblHeader/>
        </w:trPr>
        <w:tc>
          <w:tcPr>
            <w:tcW w:w="587" w:type="dxa"/>
            <w:vMerge w:val="restart"/>
            <w:tcBorders>
              <w:top w:val="single" w:color="auto" w:sz="4" w:space="0"/>
              <w:left w:val="single" w:color="auto" w:sz="4" w:space="0"/>
              <w:right w:val="single" w:color="auto" w:sz="4" w:space="0"/>
            </w:tcBorders>
            <w:vAlign w:val="center"/>
          </w:tcPr>
          <w:p w14:paraId="0A92FBB4">
            <w:pPr>
              <w:adjustRightInd w:val="0"/>
              <w:snapToGrid w:val="0"/>
              <w:spacing w:before="24" w:beforeLines="10" w:after="24" w:afterLines="10"/>
              <w:jc w:val="center"/>
              <w:rPr>
                <w:rFonts w:hint="eastAsia" w:ascii="宋体" w:hAnsi="宋体"/>
                <w:bCs/>
                <w:highlight w:val="none"/>
              </w:rPr>
            </w:pPr>
            <w:r>
              <w:rPr>
                <w:rFonts w:ascii="宋体" w:hAnsi="宋体"/>
                <w:bCs/>
                <w:highlight w:val="none"/>
              </w:rPr>
              <w:t>条款</w:t>
            </w:r>
          </w:p>
          <w:p w14:paraId="43CECD08">
            <w:pPr>
              <w:adjustRightInd w:val="0"/>
              <w:snapToGrid w:val="0"/>
              <w:spacing w:before="24" w:beforeLines="10" w:after="24" w:afterLines="10"/>
              <w:jc w:val="center"/>
              <w:rPr>
                <w:rFonts w:hint="eastAsia" w:ascii="宋体" w:hAnsi="宋体"/>
                <w:bCs/>
                <w:highlight w:val="none"/>
              </w:rPr>
            </w:pPr>
            <w:r>
              <w:rPr>
                <w:rFonts w:ascii="宋体" w:hAnsi="宋体"/>
                <w:bCs/>
                <w:highlight w:val="none"/>
              </w:rPr>
              <w:t>号</w:t>
            </w:r>
          </w:p>
        </w:tc>
        <w:tc>
          <w:tcPr>
            <w:tcW w:w="4970" w:type="dxa"/>
            <w:gridSpan w:val="4"/>
            <w:tcBorders>
              <w:top w:val="single" w:color="auto" w:sz="4" w:space="0"/>
              <w:left w:val="single" w:color="auto" w:sz="4" w:space="0"/>
              <w:right w:val="single" w:color="auto" w:sz="4" w:space="0"/>
            </w:tcBorders>
            <w:vAlign w:val="center"/>
          </w:tcPr>
          <w:p w14:paraId="6F9C7EED">
            <w:pPr>
              <w:adjustRightInd w:val="0"/>
              <w:snapToGrid w:val="0"/>
              <w:spacing w:before="24" w:beforeLines="10" w:after="24" w:afterLines="10"/>
              <w:jc w:val="center"/>
              <w:rPr>
                <w:rFonts w:hint="eastAsia" w:ascii="宋体" w:hAnsi="宋体"/>
                <w:bCs/>
                <w:highlight w:val="none"/>
              </w:rPr>
            </w:pPr>
            <w:r>
              <w:rPr>
                <w:rFonts w:ascii="宋体" w:hAnsi="宋体"/>
                <w:bCs/>
                <w:highlight w:val="none"/>
              </w:rPr>
              <w:t>评分因素与拟定权重分值</w:t>
            </w:r>
          </w:p>
        </w:tc>
        <w:tc>
          <w:tcPr>
            <w:tcW w:w="4138" w:type="dxa"/>
            <w:vMerge w:val="restart"/>
            <w:tcBorders>
              <w:top w:val="single" w:color="auto" w:sz="4" w:space="0"/>
              <w:left w:val="single" w:color="auto" w:sz="4" w:space="0"/>
              <w:right w:val="single" w:color="auto" w:sz="4" w:space="0"/>
            </w:tcBorders>
            <w:vAlign w:val="center"/>
          </w:tcPr>
          <w:p w14:paraId="61BE2DD3">
            <w:pPr>
              <w:adjustRightInd w:val="0"/>
              <w:snapToGrid w:val="0"/>
              <w:spacing w:before="24" w:beforeLines="10" w:after="24" w:afterLines="10"/>
              <w:jc w:val="center"/>
              <w:rPr>
                <w:rFonts w:hint="eastAsia" w:ascii="宋体" w:hAnsi="宋体"/>
                <w:bCs/>
                <w:highlight w:val="none"/>
              </w:rPr>
            </w:pPr>
            <w:r>
              <w:rPr>
                <w:rFonts w:ascii="宋体" w:hAnsi="宋体"/>
                <w:bCs/>
                <w:highlight w:val="none"/>
              </w:rPr>
              <w:t>评分标准</w:t>
            </w:r>
          </w:p>
        </w:tc>
      </w:tr>
      <w:tr w14:paraId="524EB5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340" w:hRule="atLeast"/>
          <w:tblHeader/>
        </w:trPr>
        <w:tc>
          <w:tcPr>
            <w:tcW w:w="587" w:type="dxa"/>
            <w:vMerge w:val="continue"/>
            <w:tcBorders>
              <w:left w:val="single" w:color="auto" w:sz="4" w:space="0"/>
              <w:right w:val="single" w:color="auto" w:sz="4" w:space="0"/>
            </w:tcBorders>
            <w:vAlign w:val="center"/>
          </w:tcPr>
          <w:p w14:paraId="51086DC0">
            <w:pPr>
              <w:adjustRightInd w:val="0"/>
              <w:snapToGrid w:val="0"/>
              <w:spacing w:before="24" w:beforeLines="10" w:after="24" w:afterLines="10"/>
              <w:jc w:val="center"/>
              <w:rPr>
                <w:rFonts w:hint="eastAsia" w:ascii="宋体" w:hAnsi="宋体"/>
                <w:bCs/>
                <w:highlight w:val="none"/>
              </w:rPr>
            </w:pPr>
          </w:p>
        </w:tc>
        <w:tc>
          <w:tcPr>
            <w:tcW w:w="1002" w:type="dxa"/>
            <w:tcBorders>
              <w:left w:val="single" w:color="auto" w:sz="4" w:space="0"/>
            </w:tcBorders>
            <w:vAlign w:val="center"/>
          </w:tcPr>
          <w:p w14:paraId="4B6733F1">
            <w:pPr>
              <w:adjustRightInd w:val="0"/>
              <w:snapToGrid w:val="0"/>
              <w:spacing w:before="24" w:beforeLines="10" w:after="24" w:afterLines="10"/>
              <w:jc w:val="center"/>
              <w:rPr>
                <w:rFonts w:hint="eastAsia" w:ascii="宋体" w:hAnsi="宋体"/>
                <w:bCs/>
                <w:highlight w:val="none"/>
              </w:rPr>
            </w:pPr>
            <w:r>
              <w:rPr>
                <w:rFonts w:ascii="宋体" w:hAnsi="宋体"/>
                <w:bCs/>
                <w:highlight w:val="none"/>
              </w:rPr>
              <w:t>评分</w:t>
            </w:r>
            <w:r>
              <w:rPr>
                <w:rFonts w:ascii="宋体" w:hAnsi="宋体"/>
                <w:bCs/>
                <w:highlight w:val="none"/>
              </w:rPr>
              <w:br w:type="textWrapping"/>
            </w:r>
            <w:r>
              <w:rPr>
                <w:rFonts w:ascii="宋体" w:hAnsi="宋体"/>
                <w:bCs/>
                <w:highlight w:val="none"/>
              </w:rPr>
              <w:t>因素</w:t>
            </w:r>
          </w:p>
        </w:tc>
        <w:tc>
          <w:tcPr>
            <w:tcW w:w="993" w:type="dxa"/>
            <w:vAlign w:val="center"/>
          </w:tcPr>
          <w:p w14:paraId="5140928B">
            <w:pPr>
              <w:adjustRightInd w:val="0"/>
              <w:snapToGrid w:val="0"/>
              <w:spacing w:before="24" w:beforeLines="10" w:after="24" w:afterLines="10"/>
              <w:jc w:val="center"/>
              <w:rPr>
                <w:rFonts w:hint="eastAsia" w:ascii="宋体" w:hAnsi="宋体"/>
                <w:bCs/>
                <w:highlight w:val="none"/>
              </w:rPr>
            </w:pPr>
            <w:r>
              <w:rPr>
                <w:rFonts w:ascii="宋体" w:hAnsi="宋体"/>
                <w:bCs/>
                <w:highlight w:val="none"/>
              </w:rPr>
              <w:t>评分因素</w:t>
            </w:r>
            <w:r>
              <w:rPr>
                <w:rFonts w:ascii="宋体" w:hAnsi="宋体"/>
                <w:bCs/>
                <w:highlight w:val="none"/>
              </w:rPr>
              <w:br w:type="textWrapping"/>
            </w:r>
            <w:r>
              <w:rPr>
                <w:rFonts w:ascii="宋体" w:hAnsi="宋体"/>
                <w:bCs/>
                <w:highlight w:val="none"/>
              </w:rPr>
              <w:t>权重分值</w:t>
            </w:r>
          </w:p>
        </w:tc>
        <w:tc>
          <w:tcPr>
            <w:tcW w:w="2266" w:type="dxa"/>
            <w:vAlign w:val="center"/>
          </w:tcPr>
          <w:p w14:paraId="3542D136">
            <w:pPr>
              <w:adjustRightInd w:val="0"/>
              <w:snapToGrid w:val="0"/>
              <w:spacing w:before="24" w:beforeLines="10" w:after="24" w:afterLines="10"/>
              <w:jc w:val="center"/>
              <w:rPr>
                <w:rFonts w:hint="eastAsia" w:ascii="宋体" w:hAnsi="宋体"/>
                <w:bCs/>
                <w:highlight w:val="none"/>
              </w:rPr>
            </w:pPr>
            <w:r>
              <w:rPr>
                <w:rFonts w:ascii="宋体" w:hAnsi="宋体"/>
                <w:bCs/>
                <w:highlight w:val="none"/>
              </w:rPr>
              <w:t>各评分因</w:t>
            </w:r>
          </w:p>
          <w:p w14:paraId="5F60E1FA">
            <w:pPr>
              <w:adjustRightInd w:val="0"/>
              <w:snapToGrid w:val="0"/>
              <w:spacing w:before="24" w:beforeLines="10" w:after="24" w:afterLines="10"/>
              <w:jc w:val="center"/>
              <w:rPr>
                <w:rFonts w:hint="eastAsia" w:ascii="宋体" w:hAnsi="宋体"/>
                <w:bCs/>
                <w:highlight w:val="none"/>
              </w:rPr>
            </w:pPr>
            <w:r>
              <w:rPr>
                <w:rFonts w:ascii="宋体" w:hAnsi="宋体"/>
                <w:bCs/>
                <w:highlight w:val="none"/>
              </w:rPr>
              <w:t>素细分项</w:t>
            </w:r>
          </w:p>
        </w:tc>
        <w:tc>
          <w:tcPr>
            <w:tcW w:w="709" w:type="dxa"/>
            <w:tcBorders>
              <w:right w:val="single" w:color="auto" w:sz="4" w:space="0"/>
            </w:tcBorders>
            <w:vAlign w:val="center"/>
          </w:tcPr>
          <w:p w14:paraId="22CA1A19">
            <w:pPr>
              <w:adjustRightInd w:val="0"/>
              <w:snapToGrid w:val="0"/>
              <w:spacing w:before="24" w:beforeLines="10" w:after="24" w:afterLines="10"/>
              <w:jc w:val="center"/>
              <w:rPr>
                <w:rFonts w:hint="eastAsia" w:ascii="宋体" w:hAnsi="宋体"/>
                <w:bCs/>
                <w:highlight w:val="none"/>
              </w:rPr>
            </w:pPr>
            <w:r>
              <w:rPr>
                <w:rFonts w:ascii="宋体" w:hAnsi="宋体"/>
                <w:bCs/>
                <w:highlight w:val="none"/>
              </w:rPr>
              <w:t>分值</w:t>
            </w:r>
          </w:p>
        </w:tc>
        <w:tc>
          <w:tcPr>
            <w:tcW w:w="4138" w:type="dxa"/>
            <w:vMerge w:val="continue"/>
            <w:tcBorders>
              <w:left w:val="single" w:color="auto" w:sz="4" w:space="0"/>
              <w:right w:val="single" w:color="auto" w:sz="4" w:space="0"/>
            </w:tcBorders>
            <w:vAlign w:val="center"/>
          </w:tcPr>
          <w:p w14:paraId="3E580899">
            <w:pPr>
              <w:adjustRightInd w:val="0"/>
              <w:snapToGrid w:val="0"/>
              <w:spacing w:before="24" w:beforeLines="10" w:after="24" w:afterLines="10"/>
              <w:jc w:val="center"/>
              <w:rPr>
                <w:rFonts w:hint="eastAsia" w:ascii="宋体" w:hAnsi="宋体"/>
                <w:bCs/>
                <w:highlight w:val="none"/>
              </w:rPr>
            </w:pPr>
          </w:p>
        </w:tc>
      </w:tr>
      <w:tr w14:paraId="463CE9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10" w:hRule="atLeast"/>
        </w:trPr>
        <w:tc>
          <w:tcPr>
            <w:tcW w:w="587" w:type="dxa"/>
            <w:vMerge w:val="restart"/>
            <w:tcBorders>
              <w:left w:val="single" w:color="auto" w:sz="4" w:space="0"/>
            </w:tcBorders>
            <w:vAlign w:val="center"/>
          </w:tcPr>
          <w:p w14:paraId="30928990">
            <w:pPr>
              <w:adjustRightInd w:val="0"/>
              <w:snapToGrid w:val="0"/>
              <w:spacing w:before="24" w:beforeLines="10" w:after="24" w:afterLines="10" w:line="360" w:lineRule="exact"/>
              <w:jc w:val="center"/>
              <w:rPr>
                <w:rFonts w:hint="eastAsia" w:ascii="宋体" w:hAnsi="宋体"/>
                <w:bCs/>
                <w:highlight w:val="none"/>
              </w:rPr>
            </w:pPr>
            <w:bookmarkStart w:id="123" w:name="_Hlk186125429"/>
            <w:r>
              <w:rPr>
                <w:rFonts w:ascii="宋体" w:hAnsi="宋体"/>
                <w:bCs/>
                <w:highlight w:val="none"/>
              </w:rPr>
              <w:t>2.2.</w:t>
            </w:r>
            <w:r>
              <w:rPr>
                <w:rFonts w:hint="eastAsia" w:ascii="宋体" w:hAnsi="宋体"/>
                <w:bCs/>
                <w:highlight w:val="none"/>
              </w:rPr>
              <w:t>2</w:t>
            </w:r>
            <w:r>
              <w:rPr>
                <w:rFonts w:ascii="宋体" w:hAnsi="宋体"/>
                <w:bCs/>
                <w:highlight w:val="none"/>
              </w:rPr>
              <w:t>（1）</w:t>
            </w:r>
          </w:p>
        </w:tc>
        <w:tc>
          <w:tcPr>
            <w:tcW w:w="1002" w:type="dxa"/>
            <w:vMerge w:val="restart"/>
            <w:vAlign w:val="center"/>
          </w:tcPr>
          <w:p w14:paraId="00B41BEE">
            <w:pPr>
              <w:adjustRightInd w:val="0"/>
              <w:snapToGrid w:val="0"/>
              <w:spacing w:before="24" w:beforeLines="10" w:after="24" w:afterLines="10" w:line="360" w:lineRule="exact"/>
              <w:jc w:val="center"/>
              <w:rPr>
                <w:rFonts w:hint="eastAsia" w:ascii="宋体" w:hAnsi="宋体"/>
                <w:bCs/>
                <w:highlight w:val="none"/>
              </w:rPr>
            </w:pPr>
            <w:r>
              <w:rPr>
                <w:rFonts w:ascii="宋体" w:hAnsi="宋体"/>
                <w:bCs/>
                <w:highlight w:val="none"/>
              </w:rPr>
              <w:t>施工组织设计</w:t>
            </w:r>
          </w:p>
        </w:tc>
        <w:tc>
          <w:tcPr>
            <w:tcW w:w="993" w:type="dxa"/>
            <w:vMerge w:val="restart"/>
            <w:vAlign w:val="center"/>
          </w:tcPr>
          <w:p w14:paraId="18A018EF">
            <w:pPr>
              <w:adjustRightInd w:val="0"/>
              <w:snapToGrid w:val="0"/>
              <w:spacing w:before="24" w:beforeLines="10" w:after="24" w:afterLines="10" w:line="360" w:lineRule="exact"/>
              <w:jc w:val="center"/>
              <w:rPr>
                <w:rFonts w:hint="eastAsia" w:ascii="宋体" w:hAnsi="宋体"/>
                <w:bCs/>
                <w:highlight w:val="none"/>
              </w:rPr>
            </w:pPr>
            <w:r>
              <w:rPr>
                <w:rFonts w:hint="eastAsia" w:ascii="宋体" w:hAnsi="宋体"/>
                <w:bCs/>
                <w:highlight w:val="none"/>
              </w:rPr>
              <w:t>40</w:t>
            </w:r>
            <w:r>
              <w:rPr>
                <w:rFonts w:ascii="宋体" w:hAnsi="宋体"/>
                <w:bCs/>
                <w:highlight w:val="none"/>
              </w:rPr>
              <w:t>分</w:t>
            </w:r>
          </w:p>
        </w:tc>
        <w:tc>
          <w:tcPr>
            <w:tcW w:w="2266" w:type="dxa"/>
            <w:vAlign w:val="center"/>
          </w:tcPr>
          <w:p w14:paraId="50E94764">
            <w:pPr>
              <w:adjustRightInd w:val="0"/>
              <w:snapToGrid w:val="0"/>
              <w:spacing w:line="360" w:lineRule="exact"/>
              <w:jc w:val="left"/>
              <w:rPr>
                <w:rFonts w:hint="eastAsia" w:ascii="宋体" w:hAnsi="宋体"/>
                <w:bCs/>
                <w:highlight w:val="none"/>
              </w:rPr>
            </w:pPr>
            <w:r>
              <w:rPr>
                <w:rFonts w:hint="eastAsia" w:ascii="宋体" w:hAnsi="宋体"/>
                <w:bCs/>
                <w:szCs w:val="21"/>
                <w:highlight w:val="none"/>
              </w:rPr>
              <w:t>关键工程的施工方案、方法与技术措施</w:t>
            </w:r>
          </w:p>
        </w:tc>
        <w:tc>
          <w:tcPr>
            <w:tcW w:w="709" w:type="dxa"/>
            <w:tcBorders>
              <w:bottom w:val="single" w:color="auto" w:sz="4" w:space="0"/>
            </w:tcBorders>
            <w:vAlign w:val="center"/>
          </w:tcPr>
          <w:p w14:paraId="2064A002">
            <w:pPr>
              <w:adjustRightInd w:val="0"/>
              <w:snapToGrid w:val="0"/>
              <w:spacing w:line="360" w:lineRule="exact"/>
              <w:jc w:val="center"/>
              <w:rPr>
                <w:rFonts w:hint="eastAsia" w:ascii="宋体" w:hAnsi="宋体"/>
                <w:bCs/>
                <w:highlight w:val="none"/>
              </w:rPr>
            </w:pPr>
            <w:r>
              <w:rPr>
                <w:rFonts w:hint="eastAsia" w:ascii="宋体" w:hAnsi="宋体" w:cs="宋体"/>
                <w:bCs/>
                <w:szCs w:val="21"/>
                <w:highlight w:val="none"/>
              </w:rPr>
              <w:t>20</w:t>
            </w:r>
          </w:p>
        </w:tc>
        <w:tc>
          <w:tcPr>
            <w:tcW w:w="4138" w:type="dxa"/>
            <w:tcBorders>
              <w:bottom w:val="single" w:color="auto" w:sz="4" w:space="0"/>
              <w:right w:val="single" w:color="auto" w:sz="4" w:space="0"/>
            </w:tcBorders>
            <w:vAlign w:val="center"/>
          </w:tcPr>
          <w:p w14:paraId="16822CE0">
            <w:pPr>
              <w:spacing w:line="360" w:lineRule="exact"/>
              <w:jc w:val="left"/>
              <w:rPr>
                <w:rFonts w:hint="eastAsia" w:ascii="宋体" w:hAnsi="宋体"/>
                <w:bCs/>
                <w:kern w:val="0"/>
                <w:szCs w:val="21"/>
                <w:highlight w:val="none"/>
              </w:rPr>
            </w:pPr>
            <w:r>
              <w:rPr>
                <w:rFonts w:hint="eastAsia" w:ascii="宋体" w:hAnsi="宋体"/>
                <w:bCs/>
                <w:kern w:val="0"/>
                <w:szCs w:val="21"/>
                <w:highlight w:val="none"/>
              </w:rPr>
              <w:t>好，16-20 分；</w:t>
            </w:r>
          </w:p>
          <w:p w14:paraId="1B004294">
            <w:pPr>
              <w:spacing w:line="360" w:lineRule="exact"/>
              <w:jc w:val="left"/>
              <w:rPr>
                <w:rFonts w:hint="eastAsia" w:ascii="宋体" w:hAnsi="宋体"/>
                <w:bCs/>
                <w:kern w:val="0"/>
                <w:szCs w:val="21"/>
                <w:highlight w:val="none"/>
              </w:rPr>
            </w:pPr>
            <w:r>
              <w:rPr>
                <w:rFonts w:hint="eastAsia" w:ascii="宋体" w:hAnsi="宋体"/>
                <w:bCs/>
                <w:kern w:val="0"/>
                <w:szCs w:val="21"/>
                <w:highlight w:val="none"/>
              </w:rPr>
              <w:t>较好，12-16分；</w:t>
            </w:r>
          </w:p>
          <w:p w14:paraId="78A3FD64">
            <w:pPr>
              <w:adjustRightInd w:val="0"/>
              <w:snapToGrid w:val="0"/>
              <w:spacing w:line="360" w:lineRule="exact"/>
              <w:rPr>
                <w:rFonts w:hint="eastAsia" w:ascii="宋体" w:hAnsi="宋体"/>
                <w:bCs/>
                <w:szCs w:val="21"/>
                <w:highlight w:val="none"/>
              </w:rPr>
            </w:pPr>
            <w:r>
              <w:rPr>
                <w:rFonts w:hint="eastAsia" w:ascii="宋体" w:hAnsi="宋体"/>
                <w:bCs/>
                <w:kern w:val="0"/>
                <w:szCs w:val="21"/>
                <w:highlight w:val="none"/>
              </w:rPr>
              <w:t>一般，12分；</w:t>
            </w:r>
          </w:p>
        </w:tc>
      </w:tr>
      <w:tr w14:paraId="30EB00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10" w:hRule="atLeast"/>
        </w:trPr>
        <w:tc>
          <w:tcPr>
            <w:tcW w:w="587" w:type="dxa"/>
            <w:vMerge w:val="continue"/>
            <w:tcBorders>
              <w:left w:val="single" w:color="auto" w:sz="4" w:space="0"/>
            </w:tcBorders>
            <w:vAlign w:val="center"/>
          </w:tcPr>
          <w:p w14:paraId="29D0FDA2">
            <w:pPr>
              <w:adjustRightInd w:val="0"/>
              <w:snapToGrid w:val="0"/>
              <w:spacing w:before="24" w:beforeLines="10" w:after="24" w:afterLines="10" w:line="360" w:lineRule="exact"/>
              <w:jc w:val="center"/>
              <w:rPr>
                <w:rFonts w:hint="eastAsia" w:ascii="宋体" w:hAnsi="宋体"/>
                <w:bCs/>
                <w:highlight w:val="none"/>
              </w:rPr>
            </w:pPr>
          </w:p>
        </w:tc>
        <w:tc>
          <w:tcPr>
            <w:tcW w:w="1002" w:type="dxa"/>
            <w:vMerge w:val="continue"/>
            <w:vAlign w:val="center"/>
          </w:tcPr>
          <w:p w14:paraId="519F04D2">
            <w:pPr>
              <w:adjustRightInd w:val="0"/>
              <w:snapToGrid w:val="0"/>
              <w:spacing w:before="24" w:beforeLines="10" w:after="24" w:afterLines="10" w:line="360" w:lineRule="exact"/>
              <w:jc w:val="center"/>
              <w:rPr>
                <w:rFonts w:hint="eastAsia" w:ascii="宋体" w:hAnsi="宋体"/>
                <w:bCs/>
                <w:highlight w:val="none"/>
              </w:rPr>
            </w:pPr>
          </w:p>
        </w:tc>
        <w:tc>
          <w:tcPr>
            <w:tcW w:w="993" w:type="dxa"/>
            <w:vMerge w:val="continue"/>
            <w:vAlign w:val="center"/>
          </w:tcPr>
          <w:p w14:paraId="5C88C561">
            <w:pPr>
              <w:adjustRightInd w:val="0"/>
              <w:snapToGrid w:val="0"/>
              <w:spacing w:before="24" w:beforeLines="10" w:after="24" w:afterLines="10" w:line="360" w:lineRule="exact"/>
              <w:jc w:val="center"/>
              <w:rPr>
                <w:rFonts w:hint="eastAsia" w:ascii="宋体" w:hAnsi="宋体"/>
                <w:bCs/>
                <w:highlight w:val="none"/>
              </w:rPr>
            </w:pPr>
          </w:p>
        </w:tc>
        <w:tc>
          <w:tcPr>
            <w:tcW w:w="2266" w:type="dxa"/>
            <w:tcBorders>
              <w:top w:val="single" w:color="auto" w:sz="4" w:space="0"/>
            </w:tcBorders>
            <w:vAlign w:val="center"/>
          </w:tcPr>
          <w:p w14:paraId="0608F2F5">
            <w:pPr>
              <w:adjustRightInd w:val="0"/>
              <w:snapToGrid w:val="0"/>
              <w:spacing w:line="360" w:lineRule="exact"/>
              <w:jc w:val="left"/>
              <w:rPr>
                <w:rFonts w:hint="eastAsia" w:ascii="宋体" w:hAnsi="宋体"/>
                <w:bCs/>
                <w:highlight w:val="none"/>
              </w:rPr>
            </w:pPr>
            <w:r>
              <w:rPr>
                <w:rFonts w:hint="eastAsia" w:ascii="宋体" w:hAnsi="宋体"/>
                <w:bCs/>
                <w:szCs w:val="21"/>
                <w:highlight w:val="none"/>
              </w:rPr>
              <w:t>工期保证体系及保证措施</w:t>
            </w:r>
          </w:p>
        </w:tc>
        <w:tc>
          <w:tcPr>
            <w:tcW w:w="709" w:type="dxa"/>
            <w:tcBorders>
              <w:bottom w:val="single" w:color="auto" w:sz="4" w:space="0"/>
            </w:tcBorders>
            <w:vAlign w:val="center"/>
          </w:tcPr>
          <w:p w14:paraId="205D56E1">
            <w:pPr>
              <w:adjustRightInd w:val="0"/>
              <w:snapToGrid w:val="0"/>
              <w:spacing w:line="360" w:lineRule="exact"/>
              <w:jc w:val="center"/>
              <w:rPr>
                <w:rFonts w:hint="eastAsia" w:ascii="宋体" w:hAnsi="宋体"/>
                <w:bCs/>
                <w:highlight w:val="none"/>
              </w:rPr>
            </w:pPr>
            <w:r>
              <w:rPr>
                <w:rFonts w:hint="eastAsia" w:ascii="宋体" w:hAnsi="宋体" w:cs="宋体"/>
                <w:bCs/>
                <w:szCs w:val="21"/>
                <w:highlight w:val="none"/>
              </w:rPr>
              <w:t>3</w:t>
            </w:r>
          </w:p>
        </w:tc>
        <w:tc>
          <w:tcPr>
            <w:tcW w:w="4138" w:type="dxa"/>
            <w:tcBorders>
              <w:right w:val="single" w:color="auto" w:sz="4" w:space="0"/>
            </w:tcBorders>
            <w:vAlign w:val="center"/>
          </w:tcPr>
          <w:p w14:paraId="56545029">
            <w:pPr>
              <w:spacing w:line="360" w:lineRule="exact"/>
              <w:jc w:val="left"/>
              <w:rPr>
                <w:rFonts w:hint="eastAsia" w:ascii="宋体" w:hAnsi="宋体"/>
                <w:bCs/>
                <w:kern w:val="0"/>
                <w:szCs w:val="21"/>
                <w:highlight w:val="none"/>
              </w:rPr>
            </w:pPr>
            <w:r>
              <w:rPr>
                <w:rFonts w:hint="eastAsia" w:ascii="宋体" w:hAnsi="宋体"/>
                <w:bCs/>
                <w:kern w:val="0"/>
                <w:szCs w:val="21"/>
                <w:highlight w:val="none"/>
              </w:rPr>
              <w:t>好，2.4-3分；</w:t>
            </w:r>
          </w:p>
          <w:p w14:paraId="7B9419AB">
            <w:pPr>
              <w:spacing w:line="360" w:lineRule="exact"/>
              <w:jc w:val="left"/>
              <w:rPr>
                <w:rFonts w:hint="eastAsia" w:ascii="宋体" w:hAnsi="宋体"/>
                <w:bCs/>
                <w:kern w:val="0"/>
                <w:szCs w:val="21"/>
                <w:highlight w:val="none"/>
              </w:rPr>
            </w:pPr>
            <w:r>
              <w:rPr>
                <w:rFonts w:hint="eastAsia" w:ascii="宋体" w:hAnsi="宋体"/>
                <w:bCs/>
                <w:kern w:val="0"/>
                <w:szCs w:val="21"/>
                <w:highlight w:val="none"/>
              </w:rPr>
              <w:t>较好，1.8-2.4分；</w:t>
            </w:r>
          </w:p>
          <w:p w14:paraId="5E0CECF3">
            <w:pPr>
              <w:adjustRightInd w:val="0"/>
              <w:snapToGrid w:val="0"/>
              <w:spacing w:line="360" w:lineRule="exact"/>
              <w:rPr>
                <w:rFonts w:hint="eastAsia" w:ascii="宋体" w:hAnsi="宋体"/>
                <w:bCs/>
                <w:szCs w:val="21"/>
                <w:highlight w:val="none"/>
              </w:rPr>
            </w:pPr>
            <w:r>
              <w:rPr>
                <w:rFonts w:hint="eastAsia" w:ascii="宋体" w:hAnsi="宋体"/>
                <w:bCs/>
                <w:kern w:val="0"/>
                <w:szCs w:val="21"/>
                <w:highlight w:val="none"/>
              </w:rPr>
              <w:t>一般，1.8分；</w:t>
            </w:r>
          </w:p>
        </w:tc>
      </w:tr>
      <w:tr w14:paraId="202DA4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trPr>
        <w:tc>
          <w:tcPr>
            <w:tcW w:w="587" w:type="dxa"/>
            <w:vMerge w:val="continue"/>
            <w:tcBorders>
              <w:left w:val="single" w:color="auto" w:sz="4" w:space="0"/>
            </w:tcBorders>
            <w:vAlign w:val="center"/>
          </w:tcPr>
          <w:p w14:paraId="427EAFEC">
            <w:pPr>
              <w:adjustRightInd w:val="0"/>
              <w:snapToGrid w:val="0"/>
              <w:spacing w:before="24" w:beforeLines="10" w:after="24" w:afterLines="10" w:line="360" w:lineRule="exact"/>
              <w:jc w:val="center"/>
              <w:rPr>
                <w:rFonts w:hint="eastAsia" w:ascii="宋体" w:hAnsi="宋体"/>
                <w:bCs/>
                <w:highlight w:val="none"/>
              </w:rPr>
            </w:pPr>
          </w:p>
        </w:tc>
        <w:tc>
          <w:tcPr>
            <w:tcW w:w="1002" w:type="dxa"/>
            <w:vMerge w:val="continue"/>
            <w:vAlign w:val="center"/>
          </w:tcPr>
          <w:p w14:paraId="112FDBE3">
            <w:pPr>
              <w:adjustRightInd w:val="0"/>
              <w:snapToGrid w:val="0"/>
              <w:spacing w:before="24" w:beforeLines="10" w:after="24" w:afterLines="10" w:line="360" w:lineRule="exact"/>
              <w:jc w:val="center"/>
              <w:rPr>
                <w:rFonts w:hint="eastAsia" w:ascii="宋体" w:hAnsi="宋体"/>
                <w:bCs/>
                <w:highlight w:val="none"/>
              </w:rPr>
            </w:pPr>
          </w:p>
        </w:tc>
        <w:tc>
          <w:tcPr>
            <w:tcW w:w="993" w:type="dxa"/>
            <w:vMerge w:val="continue"/>
            <w:vAlign w:val="center"/>
          </w:tcPr>
          <w:p w14:paraId="74133D32">
            <w:pPr>
              <w:adjustRightInd w:val="0"/>
              <w:snapToGrid w:val="0"/>
              <w:spacing w:before="24" w:beforeLines="10" w:after="24" w:afterLines="10" w:line="360" w:lineRule="exact"/>
              <w:jc w:val="center"/>
              <w:rPr>
                <w:rFonts w:hint="eastAsia" w:ascii="宋体" w:hAnsi="宋体"/>
                <w:bCs/>
                <w:highlight w:val="none"/>
              </w:rPr>
            </w:pPr>
          </w:p>
        </w:tc>
        <w:tc>
          <w:tcPr>
            <w:tcW w:w="2266" w:type="dxa"/>
            <w:tcBorders>
              <w:top w:val="single" w:color="auto" w:sz="4" w:space="0"/>
            </w:tcBorders>
            <w:vAlign w:val="center"/>
          </w:tcPr>
          <w:p w14:paraId="211FAE0A">
            <w:pPr>
              <w:adjustRightInd w:val="0"/>
              <w:snapToGrid w:val="0"/>
              <w:spacing w:line="360" w:lineRule="exact"/>
              <w:jc w:val="left"/>
              <w:rPr>
                <w:rFonts w:hint="eastAsia" w:ascii="宋体" w:hAnsi="宋体"/>
                <w:bCs/>
                <w:highlight w:val="none"/>
              </w:rPr>
            </w:pPr>
            <w:r>
              <w:rPr>
                <w:rFonts w:hint="eastAsia" w:ascii="宋体" w:hAnsi="宋体"/>
                <w:bCs/>
                <w:szCs w:val="21"/>
                <w:highlight w:val="none"/>
              </w:rPr>
              <w:t>工程质量管理体系及保证措施</w:t>
            </w:r>
          </w:p>
        </w:tc>
        <w:tc>
          <w:tcPr>
            <w:tcW w:w="709" w:type="dxa"/>
            <w:tcBorders>
              <w:bottom w:val="single" w:color="auto" w:sz="4" w:space="0"/>
            </w:tcBorders>
            <w:vAlign w:val="center"/>
          </w:tcPr>
          <w:p w14:paraId="5764674F">
            <w:pPr>
              <w:adjustRightInd w:val="0"/>
              <w:snapToGrid w:val="0"/>
              <w:spacing w:line="360" w:lineRule="exact"/>
              <w:jc w:val="center"/>
              <w:rPr>
                <w:rFonts w:hint="eastAsia" w:ascii="宋体" w:hAnsi="宋体"/>
                <w:bCs/>
                <w:highlight w:val="none"/>
              </w:rPr>
            </w:pPr>
            <w:r>
              <w:rPr>
                <w:rFonts w:hint="eastAsia" w:ascii="宋体" w:hAnsi="宋体"/>
                <w:bCs/>
                <w:szCs w:val="21"/>
                <w:highlight w:val="none"/>
              </w:rPr>
              <w:t>5</w:t>
            </w:r>
          </w:p>
        </w:tc>
        <w:tc>
          <w:tcPr>
            <w:tcW w:w="4138" w:type="dxa"/>
            <w:tcBorders>
              <w:right w:val="single" w:color="auto" w:sz="4" w:space="0"/>
            </w:tcBorders>
            <w:vAlign w:val="center"/>
          </w:tcPr>
          <w:p w14:paraId="335FADED">
            <w:pPr>
              <w:spacing w:line="360" w:lineRule="exact"/>
              <w:jc w:val="left"/>
              <w:rPr>
                <w:rFonts w:hint="eastAsia" w:ascii="宋体" w:hAnsi="宋体"/>
                <w:bCs/>
                <w:kern w:val="0"/>
                <w:szCs w:val="21"/>
                <w:highlight w:val="none"/>
              </w:rPr>
            </w:pPr>
            <w:r>
              <w:rPr>
                <w:rFonts w:hint="eastAsia" w:ascii="宋体" w:hAnsi="宋体"/>
                <w:bCs/>
                <w:kern w:val="0"/>
                <w:szCs w:val="21"/>
                <w:highlight w:val="none"/>
              </w:rPr>
              <w:t>好，4-5分；</w:t>
            </w:r>
          </w:p>
          <w:p w14:paraId="78A03B48">
            <w:pPr>
              <w:spacing w:line="360" w:lineRule="exact"/>
              <w:jc w:val="left"/>
              <w:rPr>
                <w:rFonts w:hint="eastAsia" w:ascii="宋体" w:hAnsi="宋体"/>
                <w:bCs/>
                <w:kern w:val="0"/>
                <w:szCs w:val="21"/>
                <w:highlight w:val="none"/>
              </w:rPr>
            </w:pPr>
            <w:r>
              <w:rPr>
                <w:rFonts w:hint="eastAsia" w:ascii="宋体" w:hAnsi="宋体"/>
                <w:bCs/>
                <w:kern w:val="0"/>
                <w:szCs w:val="21"/>
                <w:highlight w:val="none"/>
              </w:rPr>
              <w:t>较好，3-4分；</w:t>
            </w:r>
          </w:p>
          <w:p w14:paraId="368ED27C">
            <w:pPr>
              <w:adjustRightInd w:val="0"/>
              <w:snapToGrid w:val="0"/>
              <w:spacing w:line="360" w:lineRule="exact"/>
              <w:rPr>
                <w:rFonts w:hint="eastAsia" w:ascii="宋体" w:hAnsi="宋体"/>
                <w:bCs/>
                <w:szCs w:val="21"/>
                <w:highlight w:val="none"/>
              </w:rPr>
            </w:pPr>
            <w:r>
              <w:rPr>
                <w:rFonts w:hint="eastAsia" w:ascii="宋体" w:hAnsi="宋体"/>
                <w:bCs/>
                <w:kern w:val="0"/>
                <w:szCs w:val="21"/>
                <w:highlight w:val="none"/>
              </w:rPr>
              <w:t>一般，3分；</w:t>
            </w:r>
          </w:p>
        </w:tc>
      </w:tr>
      <w:tr w14:paraId="6F01B4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10" w:hRule="atLeast"/>
        </w:trPr>
        <w:tc>
          <w:tcPr>
            <w:tcW w:w="587" w:type="dxa"/>
            <w:vMerge w:val="continue"/>
            <w:tcBorders>
              <w:left w:val="single" w:color="auto" w:sz="4" w:space="0"/>
            </w:tcBorders>
            <w:vAlign w:val="center"/>
          </w:tcPr>
          <w:p w14:paraId="61470998">
            <w:pPr>
              <w:adjustRightInd w:val="0"/>
              <w:snapToGrid w:val="0"/>
              <w:spacing w:before="24" w:beforeLines="10" w:after="24" w:afterLines="10" w:line="360" w:lineRule="exact"/>
              <w:jc w:val="center"/>
              <w:rPr>
                <w:rFonts w:hint="eastAsia" w:ascii="宋体" w:hAnsi="宋体"/>
                <w:bCs/>
                <w:highlight w:val="none"/>
              </w:rPr>
            </w:pPr>
          </w:p>
        </w:tc>
        <w:tc>
          <w:tcPr>
            <w:tcW w:w="1002" w:type="dxa"/>
            <w:vMerge w:val="continue"/>
            <w:vAlign w:val="center"/>
          </w:tcPr>
          <w:p w14:paraId="7D47EE4C">
            <w:pPr>
              <w:adjustRightInd w:val="0"/>
              <w:snapToGrid w:val="0"/>
              <w:spacing w:before="24" w:beforeLines="10" w:after="24" w:afterLines="10" w:line="360" w:lineRule="exact"/>
              <w:jc w:val="center"/>
              <w:rPr>
                <w:rFonts w:hint="eastAsia" w:ascii="宋体" w:hAnsi="宋体"/>
                <w:bCs/>
                <w:highlight w:val="none"/>
              </w:rPr>
            </w:pPr>
          </w:p>
        </w:tc>
        <w:tc>
          <w:tcPr>
            <w:tcW w:w="993" w:type="dxa"/>
            <w:vMerge w:val="continue"/>
            <w:vAlign w:val="center"/>
          </w:tcPr>
          <w:p w14:paraId="4B8DD0E5">
            <w:pPr>
              <w:adjustRightInd w:val="0"/>
              <w:snapToGrid w:val="0"/>
              <w:spacing w:before="24" w:beforeLines="10" w:after="24" w:afterLines="10" w:line="360" w:lineRule="exact"/>
              <w:jc w:val="center"/>
              <w:rPr>
                <w:rFonts w:hint="eastAsia" w:ascii="宋体" w:hAnsi="宋体"/>
                <w:bCs/>
                <w:highlight w:val="none"/>
              </w:rPr>
            </w:pPr>
          </w:p>
        </w:tc>
        <w:tc>
          <w:tcPr>
            <w:tcW w:w="2266" w:type="dxa"/>
            <w:tcBorders>
              <w:top w:val="single" w:color="auto" w:sz="4" w:space="0"/>
            </w:tcBorders>
            <w:vAlign w:val="center"/>
          </w:tcPr>
          <w:p w14:paraId="1A93C1A0">
            <w:pPr>
              <w:adjustRightInd w:val="0"/>
              <w:snapToGrid w:val="0"/>
              <w:spacing w:line="360" w:lineRule="exact"/>
              <w:jc w:val="left"/>
              <w:rPr>
                <w:rFonts w:hint="eastAsia" w:ascii="宋体" w:hAnsi="宋体"/>
                <w:bCs/>
                <w:highlight w:val="none"/>
              </w:rPr>
            </w:pPr>
            <w:r>
              <w:rPr>
                <w:rFonts w:hint="eastAsia" w:ascii="宋体" w:hAnsi="宋体"/>
                <w:bCs/>
                <w:szCs w:val="21"/>
                <w:highlight w:val="none"/>
              </w:rPr>
              <w:t>安全生产管理体系及保证措施</w:t>
            </w:r>
          </w:p>
        </w:tc>
        <w:tc>
          <w:tcPr>
            <w:tcW w:w="709" w:type="dxa"/>
            <w:tcBorders>
              <w:bottom w:val="single" w:color="auto" w:sz="4" w:space="0"/>
            </w:tcBorders>
            <w:vAlign w:val="center"/>
          </w:tcPr>
          <w:p w14:paraId="3177E833">
            <w:pPr>
              <w:adjustRightInd w:val="0"/>
              <w:snapToGrid w:val="0"/>
              <w:spacing w:line="360" w:lineRule="exact"/>
              <w:jc w:val="center"/>
              <w:rPr>
                <w:rFonts w:hint="eastAsia" w:ascii="宋体" w:hAnsi="宋体"/>
                <w:bCs/>
                <w:highlight w:val="none"/>
              </w:rPr>
            </w:pPr>
            <w:r>
              <w:rPr>
                <w:rFonts w:hint="eastAsia" w:ascii="宋体" w:hAnsi="宋体"/>
                <w:bCs/>
                <w:szCs w:val="21"/>
                <w:highlight w:val="none"/>
              </w:rPr>
              <w:t>5</w:t>
            </w:r>
          </w:p>
        </w:tc>
        <w:tc>
          <w:tcPr>
            <w:tcW w:w="4138" w:type="dxa"/>
            <w:tcBorders>
              <w:right w:val="single" w:color="auto" w:sz="4" w:space="0"/>
            </w:tcBorders>
            <w:vAlign w:val="center"/>
          </w:tcPr>
          <w:p w14:paraId="67AC842F">
            <w:pPr>
              <w:spacing w:line="360" w:lineRule="exact"/>
              <w:jc w:val="left"/>
              <w:rPr>
                <w:rFonts w:hint="eastAsia" w:ascii="宋体" w:hAnsi="宋体"/>
                <w:bCs/>
                <w:kern w:val="0"/>
                <w:szCs w:val="21"/>
                <w:highlight w:val="none"/>
              </w:rPr>
            </w:pPr>
            <w:r>
              <w:rPr>
                <w:rFonts w:hint="eastAsia" w:ascii="宋体" w:hAnsi="宋体"/>
                <w:bCs/>
                <w:kern w:val="0"/>
                <w:szCs w:val="21"/>
                <w:highlight w:val="none"/>
              </w:rPr>
              <w:t>好，4-5分；</w:t>
            </w:r>
          </w:p>
          <w:p w14:paraId="6057F981">
            <w:pPr>
              <w:spacing w:line="360" w:lineRule="exact"/>
              <w:jc w:val="left"/>
              <w:rPr>
                <w:rFonts w:hint="eastAsia" w:ascii="宋体" w:hAnsi="宋体"/>
                <w:bCs/>
                <w:kern w:val="0"/>
                <w:szCs w:val="21"/>
                <w:highlight w:val="none"/>
              </w:rPr>
            </w:pPr>
            <w:r>
              <w:rPr>
                <w:rFonts w:hint="eastAsia" w:ascii="宋体" w:hAnsi="宋体"/>
                <w:bCs/>
                <w:kern w:val="0"/>
                <w:szCs w:val="21"/>
                <w:highlight w:val="none"/>
              </w:rPr>
              <w:t>较好，3-4分；</w:t>
            </w:r>
          </w:p>
          <w:p w14:paraId="6013B488">
            <w:pPr>
              <w:adjustRightInd w:val="0"/>
              <w:snapToGrid w:val="0"/>
              <w:spacing w:line="360" w:lineRule="exact"/>
              <w:rPr>
                <w:rFonts w:hint="eastAsia" w:ascii="宋体" w:hAnsi="宋体"/>
                <w:bCs/>
                <w:szCs w:val="21"/>
                <w:highlight w:val="none"/>
              </w:rPr>
            </w:pPr>
            <w:r>
              <w:rPr>
                <w:rFonts w:hint="eastAsia" w:ascii="宋体" w:hAnsi="宋体"/>
                <w:bCs/>
                <w:kern w:val="0"/>
                <w:szCs w:val="21"/>
                <w:highlight w:val="none"/>
              </w:rPr>
              <w:t>一般，3分；</w:t>
            </w:r>
          </w:p>
        </w:tc>
      </w:tr>
      <w:tr w14:paraId="6A9FBC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trPr>
        <w:tc>
          <w:tcPr>
            <w:tcW w:w="587" w:type="dxa"/>
            <w:vMerge w:val="continue"/>
            <w:tcBorders>
              <w:left w:val="single" w:color="auto" w:sz="4" w:space="0"/>
            </w:tcBorders>
            <w:vAlign w:val="center"/>
          </w:tcPr>
          <w:p w14:paraId="2F7A40B4">
            <w:pPr>
              <w:adjustRightInd w:val="0"/>
              <w:snapToGrid w:val="0"/>
              <w:spacing w:before="24" w:beforeLines="10" w:after="24" w:afterLines="10" w:line="360" w:lineRule="exact"/>
              <w:jc w:val="center"/>
              <w:rPr>
                <w:rFonts w:hint="eastAsia" w:ascii="宋体" w:hAnsi="宋体"/>
                <w:bCs/>
                <w:highlight w:val="none"/>
              </w:rPr>
            </w:pPr>
          </w:p>
        </w:tc>
        <w:tc>
          <w:tcPr>
            <w:tcW w:w="1002" w:type="dxa"/>
            <w:vMerge w:val="continue"/>
            <w:vAlign w:val="center"/>
          </w:tcPr>
          <w:p w14:paraId="0010FB42">
            <w:pPr>
              <w:adjustRightInd w:val="0"/>
              <w:snapToGrid w:val="0"/>
              <w:spacing w:before="24" w:beforeLines="10" w:after="24" w:afterLines="10" w:line="360" w:lineRule="exact"/>
              <w:jc w:val="center"/>
              <w:rPr>
                <w:rFonts w:hint="eastAsia" w:ascii="宋体" w:hAnsi="宋体"/>
                <w:bCs/>
                <w:highlight w:val="none"/>
              </w:rPr>
            </w:pPr>
          </w:p>
        </w:tc>
        <w:tc>
          <w:tcPr>
            <w:tcW w:w="993" w:type="dxa"/>
            <w:vMerge w:val="continue"/>
            <w:vAlign w:val="center"/>
          </w:tcPr>
          <w:p w14:paraId="2683B97E">
            <w:pPr>
              <w:adjustRightInd w:val="0"/>
              <w:snapToGrid w:val="0"/>
              <w:spacing w:before="24" w:beforeLines="10" w:after="24" w:afterLines="10" w:line="360" w:lineRule="exact"/>
              <w:jc w:val="center"/>
              <w:rPr>
                <w:rFonts w:hint="eastAsia" w:ascii="宋体" w:hAnsi="宋体"/>
                <w:bCs/>
                <w:highlight w:val="none"/>
              </w:rPr>
            </w:pPr>
          </w:p>
        </w:tc>
        <w:tc>
          <w:tcPr>
            <w:tcW w:w="2266" w:type="dxa"/>
            <w:tcBorders>
              <w:top w:val="single" w:color="auto" w:sz="4" w:space="0"/>
            </w:tcBorders>
            <w:vAlign w:val="center"/>
          </w:tcPr>
          <w:p w14:paraId="266FD830">
            <w:pPr>
              <w:adjustRightInd w:val="0"/>
              <w:snapToGrid w:val="0"/>
              <w:spacing w:line="360" w:lineRule="exact"/>
              <w:jc w:val="left"/>
              <w:rPr>
                <w:rFonts w:hint="eastAsia" w:ascii="宋体" w:hAnsi="宋体"/>
                <w:bCs/>
                <w:highlight w:val="none"/>
              </w:rPr>
            </w:pPr>
            <w:r>
              <w:rPr>
                <w:rFonts w:hint="eastAsia" w:ascii="宋体" w:hAnsi="宋体"/>
                <w:bCs/>
                <w:szCs w:val="21"/>
                <w:highlight w:val="none"/>
              </w:rPr>
              <w:t>环境保护、水土保持、文明施工、文物保护保证体系及保证措施</w:t>
            </w:r>
          </w:p>
        </w:tc>
        <w:tc>
          <w:tcPr>
            <w:tcW w:w="709" w:type="dxa"/>
            <w:tcBorders>
              <w:bottom w:val="single" w:color="auto" w:sz="4" w:space="0"/>
            </w:tcBorders>
            <w:vAlign w:val="center"/>
          </w:tcPr>
          <w:p w14:paraId="2BC58081">
            <w:pPr>
              <w:adjustRightInd w:val="0"/>
              <w:snapToGrid w:val="0"/>
              <w:spacing w:line="360" w:lineRule="exact"/>
              <w:jc w:val="center"/>
              <w:rPr>
                <w:rFonts w:hint="eastAsia" w:ascii="宋体" w:hAnsi="宋体"/>
                <w:bCs/>
                <w:highlight w:val="none"/>
              </w:rPr>
            </w:pPr>
            <w:r>
              <w:rPr>
                <w:rFonts w:hint="eastAsia" w:ascii="宋体" w:hAnsi="宋体"/>
                <w:bCs/>
                <w:szCs w:val="21"/>
                <w:highlight w:val="none"/>
              </w:rPr>
              <w:t>5</w:t>
            </w:r>
          </w:p>
        </w:tc>
        <w:tc>
          <w:tcPr>
            <w:tcW w:w="4138" w:type="dxa"/>
            <w:tcBorders>
              <w:right w:val="single" w:color="auto" w:sz="4" w:space="0"/>
            </w:tcBorders>
            <w:vAlign w:val="center"/>
          </w:tcPr>
          <w:p w14:paraId="65E0813F">
            <w:pPr>
              <w:spacing w:line="360" w:lineRule="exact"/>
              <w:jc w:val="left"/>
              <w:rPr>
                <w:rFonts w:hint="eastAsia" w:ascii="宋体" w:hAnsi="宋体"/>
                <w:bCs/>
                <w:kern w:val="0"/>
                <w:szCs w:val="21"/>
                <w:highlight w:val="none"/>
              </w:rPr>
            </w:pPr>
            <w:r>
              <w:rPr>
                <w:rFonts w:hint="eastAsia" w:ascii="宋体" w:hAnsi="宋体"/>
                <w:bCs/>
                <w:kern w:val="0"/>
                <w:szCs w:val="21"/>
                <w:highlight w:val="none"/>
              </w:rPr>
              <w:t>好，4-5分；</w:t>
            </w:r>
          </w:p>
          <w:p w14:paraId="70CB4DF0">
            <w:pPr>
              <w:spacing w:line="360" w:lineRule="exact"/>
              <w:jc w:val="left"/>
              <w:rPr>
                <w:rFonts w:hint="eastAsia" w:ascii="宋体" w:hAnsi="宋体"/>
                <w:bCs/>
                <w:kern w:val="0"/>
                <w:szCs w:val="21"/>
                <w:highlight w:val="none"/>
              </w:rPr>
            </w:pPr>
            <w:r>
              <w:rPr>
                <w:rFonts w:hint="eastAsia" w:ascii="宋体" w:hAnsi="宋体"/>
                <w:bCs/>
                <w:kern w:val="0"/>
                <w:szCs w:val="21"/>
                <w:highlight w:val="none"/>
              </w:rPr>
              <w:t>较好，3-4分；</w:t>
            </w:r>
          </w:p>
          <w:p w14:paraId="52DFB140">
            <w:pPr>
              <w:adjustRightInd w:val="0"/>
              <w:snapToGrid w:val="0"/>
              <w:spacing w:line="360" w:lineRule="exact"/>
              <w:rPr>
                <w:rFonts w:hint="eastAsia" w:ascii="宋体" w:hAnsi="宋体"/>
                <w:bCs/>
                <w:szCs w:val="21"/>
                <w:highlight w:val="none"/>
              </w:rPr>
            </w:pPr>
            <w:r>
              <w:rPr>
                <w:rFonts w:hint="eastAsia" w:ascii="宋体" w:hAnsi="宋体"/>
                <w:bCs/>
                <w:kern w:val="0"/>
                <w:szCs w:val="21"/>
                <w:highlight w:val="none"/>
              </w:rPr>
              <w:t>一般，3分；</w:t>
            </w:r>
          </w:p>
        </w:tc>
      </w:tr>
      <w:tr w14:paraId="5A5E31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trPr>
        <w:tc>
          <w:tcPr>
            <w:tcW w:w="587" w:type="dxa"/>
            <w:vMerge w:val="continue"/>
            <w:tcBorders>
              <w:left w:val="single" w:color="auto" w:sz="4" w:space="0"/>
            </w:tcBorders>
            <w:vAlign w:val="center"/>
          </w:tcPr>
          <w:p w14:paraId="120431B4">
            <w:pPr>
              <w:adjustRightInd w:val="0"/>
              <w:snapToGrid w:val="0"/>
              <w:spacing w:before="24" w:beforeLines="10" w:after="24" w:afterLines="10" w:line="360" w:lineRule="exact"/>
              <w:jc w:val="center"/>
              <w:rPr>
                <w:rFonts w:hint="eastAsia" w:ascii="宋体" w:hAnsi="宋体"/>
                <w:bCs/>
                <w:highlight w:val="none"/>
              </w:rPr>
            </w:pPr>
          </w:p>
        </w:tc>
        <w:tc>
          <w:tcPr>
            <w:tcW w:w="1002" w:type="dxa"/>
            <w:vMerge w:val="continue"/>
            <w:vAlign w:val="center"/>
          </w:tcPr>
          <w:p w14:paraId="45F38E2C">
            <w:pPr>
              <w:adjustRightInd w:val="0"/>
              <w:snapToGrid w:val="0"/>
              <w:spacing w:before="24" w:beforeLines="10" w:after="24" w:afterLines="10" w:line="360" w:lineRule="exact"/>
              <w:jc w:val="center"/>
              <w:rPr>
                <w:rFonts w:hint="eastAsia" w:ascii="宋体" w:hAnsi="宋体"/>
                <w:bCs/>
                <w:highlight w:val="none"/>
              </w:rPr>
            </w:pPr>
          </w:p>
        </w:tc>
        <w:tc>
          <w:tcPr>
            <w:tcW w:w="993" w:type="dxa"/>
            <w:vMerge w:val="continue"/>
            <w:vAlign w:val="center"/>
          </w:tcPr>
          <w:p w14:paraId="2BA20846">
            <w:pPr>
              <w:adjustRightInd w:val="0"/>
              <w:snapToGrid w:val="0"/>
              <w:spacing w:before="24" w:beforeLines="10" w:after="24" w:afterLines="10" w:line="360" w:lineRule="exact"/>
              <w:jc w:val="center"/>
              <w:rPr>
                <w:rFonts w:hint="eastAsia" w:ascii="宋体" w:hAnsi="宋体"/>
                <w:bCs/>
                <w:highlight w:val="none"/>
              </w:rPr>
            </w:pPr>
          </w:p>
        </w:tc>
        <w:tc>
          <w:tcPr>
            <w:tcW w:w="2266" w:type="dxa"/>
            <w:tcBorders>
              <w:top w:val="single" w:color="auto" w:sz="4" w:space="0"/>
            </w:tcBorders>
            <w:vAlign w:val="center"/>
          </w:tcPr>
          <w:p w14:paraId="02243A8D">
            <w:pPr>
              <w:adjustRightInd w:val="0"/>
              <w:snapToGrid w:val="0"/>
              <w:spacing w:line="360" w:lineRule="exact"/>
              <w:jc w:val="left"/>
              <w:rPr>
                <w:rFonts w:hint="eastAsia" w:ascii="宋体" w:hAnsi="宋体"/>
                <w:bCs/>
                <w:highlight w:val="none"/>
              </w:rPr>
            </w:pPr>
            <w:r>
              <w:rPr>
                <w:rFonts w:hint="eastAsia" w:ascii="宋体" w:hAnsi="宋体"/>
                <w:bCs/>
                <w:szCs w:val="21"/>
                <w:highlight w:val="none"/>
              </w:rPr>
              <w:t>项目风险预测与防范，事故应急预案</w:t>
            </w:r>
          </w:p>
        </w:tc>
        <w:tc>
          <w:tcPr>
            <w:tcW w:w="709" w:type="dxa"/>
            <w:tcBorders>
              <w:bottom w:val="single" w:color="auto" w:sz="4" w:space="0"/>
            </w:tcBorders>
            <w:vAlign w:val="center"/>
          </w:tcPr>
          <w:p w14:paraId="42E6F3E3">
            <w:pPr>
              <w:adjustRightInd w:val="0"/>
              <w:snapToGrid w:val="0"/>
              <w:spacing w:line="360" w:lineRule="exact"/>
              <w:jc w:val="center"/>
              <w:rPr>
                <w:rFonts w:hint="eastAsia" w:ascii="宋体" w:hAnsi="宋体"/>
                <w:bCs/>
                <w:highlight w:val="none"/>
              </w:rPr>
            </w:pPr>
            <w:r>
              <w:rPr>
                <w:rFonts w:hint="eastAsia" w:ascii="宋体" w:hAnsi="宋体"/>
                <w:bCs/>
                <w:szCs w:val="21"/>
                <w:highlight w:val="none"/>
              </w:rPr>
              <w:t>2</w:t>
            </w:r>
          </w:p>
        </w:tc>
        <w:tc>
          <w:tcPr>
            <w:tcW w:w="4138" w:type="dxa"/>
            <w:tcBorders>
              <w:right w:val="single" w:color="auto" w:sz="4" w:space="0"/>
            </w:tcBorders>
            <w:vAlign w:val="center"/>
          </w:tcPr>
          <w:p w14:paraId="6BD8A1BC">
            <w:pPr>
              <w:spacing w:line="360" w:lineRule="exact"/>
              <w:jc w:val="left"/>
              <w:rPr>
                <w:rFonts w:hint="eastAsia" w:ascii="宋体" w:hAnsi="宋体"/>
                <w:bCs/>
                <w:kern w:val="0"/>
                <w:szCs w:val="21"/>
                <w:highlight w:val="none"/>
              </w:rPr>
            </w:pPr>
            <w:r>
              <w:rPr>
                <w:rFonts w:hint="eastAsia" w:ascii="宋体" w:hAnsi="宋体"/>
                <w:bCs/>
                <w:kern w:val="0"/>
                <w:szCs w:val="21"/>
                <w:highlight w:val="none"/>
              </w:rPr>
              <w:t>好，1.6-2分；</w:t>
            </w:r>
          </w:p>
          <w:p w14:paraId="70C19E7B">
            <w:pPr>
              <w:spacing w:line="360" w:lineRule="exact"/>
              <w:jc w:val="left"/>
              <w:rPr>
                <w:rFonts w:hint="eastAsia" w:ascii="宋体" w:hAnsi="宋体"/>
                <w:bCs/>
                <w:kern w:val="0"/>
                <w:szCs w:val="21"/>
                <w:highlight w:val="none"/>
              </w:rPr>
            </w:pPr>
            <w:r>
              <w:rPr>
                <w:rFonts w:hint="eastAsia" w:ascii="宋体" w:hAnsi="宋体"/>
                <w:bCs/>
                <w:kern w:val="0"/>
                <w:szCs w:val="21"/>
                <w:highlight w:val="none"/>
              </w:rPr>
              <w:t>较好，1.2-1.6分；</w:t>
            </w:r>
          </w:p>
          <w:p w14:paraId="4467BA2D">
            <w:pPr>
              <w:adjustRightInd w:val="0"/>
              <w:snapToGrid w:val="0"/>
              <w:spacing w:line="360" w:lineRule="exact"/>
              <w:rPr>
                <w:rFonts w:hint="eastAsia" w:ascii="宋体" w:hAnsi="宋体"/>
                <w:bCs/>
                <w:szCs w:val="21"/>
                <w:highlight w:val="none"/>
              </w:rPr>
            </w:pPr>
            <w:r>
              <w:rPr>
                <w:rFonts w:hint="eastAsia" w:ascii="宋体" w:hAnsi="宋体"/>
                <w:bCs/>
                <w:kern w:val="0"/>
                <w:szCs w:val="21"/>
                <w:highlight w:val="none"/>
              </w:rPr>
              <w:t>一般，1.2分；</w:t>
            </w:r>
          </w:p>
        </w:tc>
      </w:tr>
      <w:bookmarkEnd w:id="123"/>
      <w:tr w14:paraId="72EE6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7" w:hRule="atLeast"/>
        </w:trPr>
        <w:tc>
          <w:tcPr>
            <w:tcW w:w="587" w:type="dxa"/>
            <w:vMerge w:val="restart"/>
            <w:vAlign w:val="center"/>
          </w:tcPr>
          <w:p w14:paraId="6A8DB936">
            <w:pPr>
              <w:adjustRightInd w:val="0"/>
              <w:snapToGrid w:val="0"/>
              <w:spacing w:before="24" w:beforeLines="10" w:after="24" w:afterLines="10" w:line="360" w:lineRule="exact"/>
              <w:jc w:val="center"/>
              <w:rPr>
                <w:rFonts w:hint="eastAsia" w:ascii="宋体" w:hAnsi="宋体"/>
                <w:bCs/>
                <w:highlight w:val="none"/>
              </w:rPr>
            </w:pPr>
            <w:r>
              <w:rPr>
                <w:rFonts w:ascii="宋体" w:hAnsi="宋体"/>
                <w:bCs/>
                <w:highlight w:val="none"/>
              </w:rPr>
              <w:t>2.2.</w:t>
            </w:r>
            <w:r>
              <w:rPr>
                <w:rFonts w:hint="eastAsia" w:ascii="宋体" w:hAnsi="宋体"/>
                <w:bCs/>
                <w:highlight w:val="none"/>
              </w:rPr>
              <w:t>2</w:t>
            </w:r>
            <w:r>
              <w:rPr>
                <w:rFonts w:ascii="宋体" w:hAnsi="宋体"/>
                <w:bCs/>
                <w:highlight w:val="none"/>
              </w:rPr>
              <w:t>（2）</w:t>
            </w:r>
          </w:p>
        </w:tc>
        <w:tc>
          <w:tcPr>
            <w:tcW w:w="1002" w:type="dxa"/>
            <w:vMerge w:val="restart"/>
            <w:vAlign w:val="center"/>
          </w:tcPr>
          <w:p w14:paraId="5A072A80">
            <w:pPr>
              <w:adjustRightInd w:val="0"/>
              <w:snapToGrid w:val="0"/>
              <w:spacing w:before="24" w:beforeLines="10" w:after="24" w:afterLines="10" w:line="360" w:lineRule="exact"/>
              <w:jc w:val="center"/>
              <w:rPr>
                <w:rFonts w:hint="eastAsia" w:ascii="宋体" w:hAnsi="宋体"/>
                <w:bCs/>
                <w:highlight w:val="none"/>
              </w:rPr>
            </w:pPr>
            <w:r>
              <w:rPr>
                <w:rFonts w:hint="eastAsia" w:ascii="宋体" w:hAnsi="宋体"/>
                <w:bCs/>
                <w:highlight w:val="none"/>
              </w:rPr>
              <w:t>主要</w:t>
            </w:r>
            <w:r>
              <w:rPr>
                <w:rFonts w:ascii="宋体" w:hAnsi="宋体"/>
                <w:bCs/>
                <w:highlight w:val="none"/>
              </w:rPr>
              <w:br w:type="textWrapping"/>
            </w:r>
            <w:r>
              <w:rPr>
                <w:rFonts w:hint="eastAsia" w:ascii="宋体" w:hAnsi="宋体"/>
                <w:bCs/>
                <w:highlight w:val="none"/>
              </w:rPr>
              <w:t>人员</w:t>
            </w:r>
          </w:p>
        </w:tc>
        <w:tc>
          <w:tcPr>
            <w:tcW w:w="993" w:type="dxa"/>
            <w:vMerge w:val="restart"/>
            <w:vAlign w:val="center"/>
          </w:tcPr>
          <w:p w14:paraId="5FF66131">
            <w:pPr>
              <w:adjustRightInd w:val="0"/>
              <w:snapToGrid w:val="0"/>
              <w:spacing w:before="24" w:beforeLines="10" w:after="24" w:afterLines="10" w:line="360" w:lineRule="exact"/>
              <w:jc w:val="center"/>
              <w:rPr>
                <w:rFonts w:hint="eastAsia" w:ascii="宋体" w:hAnsi="宋体"/>
                <w:bCs/>
                <w:highlight w:val="none"/>
              </w:rPr>
            </w:pPr>
            <w:r>
              <w:rPr>
                <w:rFonts w:ascii="宋体" w:hAnsi="宋体"/>
                <w:bCs/>
                <w:highlight w:val="none"/>
              </w:rPr>
              <w:t>25分</w:t>
            </w:r>
          </w:p>
        </w:tc>
        <w:tc>
          <w:tcPr>
            <w:tcW w:w="2266" w:type="dxa"/>
            <w:vAlign w:val="center"/>
          </w:tcPr>
          <w:p w14:paraId="09FB75D6">
            <w:pPr>
              <w:adjustRightInd w:val="0"/>
              <w:snapToGrid w:val="0"/>
              <w:spacing w:before="24" w:beforeLines="10" w:after="24" w:afterLines="10" w:line="360" w:lineRule="exact"/>
              <w:jc w:val="left"/>
              <w:rPr>
                <w:rFonts w:hint="eastAsia" w:ascii="宋体" w:hAnsi="宋体"/>
                <w:bCs/>
                <w:highlight w:val="none"/>
              </w:rPr>
            </w:pPr>
            <w:r>
              <w:rPr>
                <w:rFonts w:ascii="宋体" w:hAnsi="宋体"/>
                <w:bCs/>
                <w:highlight w:val="none"/>
              </w:rPr>
              <w:t>项目经理任职</w:t>
            </w:r>
            <w:r>
              <w:rPr>
                <w:rFonts w:hint="eastAsia" w:ascii="宋体" w:hAnsi="宋体"/>
                <w:bCs/>
                <w:highlight w:val="none"/>
              </w:rPr>
              <w:t>资格与业绩</w:t>
            </w:r>
          </w:p>
        </w:tc>
        <w:tc>
          <w:tcPr>
            <w:tcW w:w="709" w:type="dxa"/>
            <w:vAlign w:val="center"/>
          </w:tcPr>
          <w:p w14:paraId="0EE44ED7">
            <w:pPr>
              <w:adjustRightInd w:val="0"/>
              <w:snapToGrid w:val="0"/>
              <w:spacing w:before="24" w:beforeLines="10" w:after="24" w:afterLines="10" w:line="360" w:lineRule="exact"/>
              <w:jc w:val="center"/>
              <w:rPr>
                <w:rFonts w:hint="eastAsia" w:ascii="宋体" w:hAnsi="宋体"/>
                <w:bCs/>
                <w:highlight w:val="none"/>
              </w:rPr>
            </w:pPr>
            <w:r>
              <w:rPr>
                <w:rFonts w:hint="eastAsia" w:ascii="宋体" w:hAnsi="宋体"/>
                <w:bCs/>
                <w:highlight w:val="none"/>
              </w:rPr>
              <w:t>15</w:t>
            </w:r>
          </w:p>
        </w:tc>
        <w:tc>
          <w:tcPr>
            <w:tcW w:w="4138" w:type="dxa"/>
            <w:vAlign w:val="center"/>
          </w:tcPr>
          <w:p w14:paraId="14509846">
            <w:pPr>
              <w:adjustRightInd w:val="0"/>
              <w:snapToGrid w:val="0"/>
              <w:spacing w:before="24" w:beforeLines="10" w:after="24" w:afterLines="10" w:line="360" w:lineRule="exact"/>
              <w:jc w:val="left"/>
              <w:rPr>
                <w:rFonts w:hint="eastAsia" w:ascii="宋体" w:hAnsi="宋体"/>
                <w:bCs/>
                <w:highlight w:val="none"/>
              </w:rPr>
            </w:pPr>
            <w:bookmarkStart w:id="124" w:name="OLE_LINK14"/>
            <w:r>
              <w:rPr>
                <w:rFonts w:hint="eastAsia" w:ascii="宋体" w:hAnsi="宋体"/>
                <w:bCs/>
                <w:highlight w:val="none"/>
              </w:rPr>
              <w:t>满足最低资格审查条件得9分，</w:t>
            </w:r>
            <w:r>
              <w:rPr>
                <w:rFonts w:hint="eastAsia" w:ascii="宋体" w:hAnsi="宋体"/>
                <w:bCs/>
                <w:color w:val="000000"/>
                <w:szCs w:val="21"/>
                <w:highlight w:val="none"/>
              </w:rPr>
              <w:t>担任过</w:t>
            </w:r>
            <w:r>
              <w:rPr>
                <w:rFonts w:hint="eastAsia" w:ascii="宋体" w:hAnsi="宋体"/>
                <w:bCs/>
                <w:highlight w:val="none"/>
              </w:rPr>
              <w:t>1项</w:t>
            </w:r>
            <w:r>
              <w:rPr>
                <w:rFonts w:hint="eastAsia" w:ascii="宋体" w:hAnsi="宋体"/>
                <w:bCs/>
                <w:highlight w:val="none"/>
              </w:rPr>
              <w:t>(指1个承包合同)二级或以上公路沥青混凝土路面修复养护工程（</w:t>
            </w:r>
            <w:r>
              <w:rPr>
                <w:rFonts w:ascii="宋体" w:hAnsi="宋体"/>
                <w:bCs/>
                <w:highlight w:val="none"/>
              </w:rPr>
              <w:t>或专项养护工程</w:t>
            </w:r>
            <w:r>
              <w:rPr>
                <w:rFonts w:hint="eastAsia" w:ascii="宋体" w:hAnsi="宋体"/>
                <w:bCs/>
                <w:highlight w:val="none"/>
              </w:rPr>
              <w:t>）施工的项目经理任职经历加6分，最多加6分。</w:t>
            </w:r>
            <w:bookmarkEnd w:id="124"/>
          </w:p>
        </w:tc>
      </w:tr>
      <w:tr w14:paraId="6C8C0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25" w:hRule="atLeast"/>
        </w:trPr>
        <w:tc>
          <w:tcPr>
            <w:tcW w:w="587" w:type="dxa"/>
            <w:vMerge w:val="continue"/>
            <w:vAlign w:val="center"/>
          </w:tcPr>
          <w:p w14:paraId="3E32E9DA">
            <w:pPr>
              <w:adjustRightInd w:val="0"/>
              <w:snapToGrid w:val="0"/>
              <w:spacing w:before="24" w:beforeLines="10" w:after="24" w:afterLines="10" w:line="360" w:lineRule="exact"/>
              <w:jc w:val="center"/>
              <w:rPr>
                <w:rFonts w:hint="eastAsia" w:ascii="宋体" w:hAnsi="宋体"/>
                <w:bCs/>
                <w:highlight w:val="none"/>
              </w:rPr>
            </w:pPr>
            <w:bookmarkStart w:id="125" w:name="_Hlk186124519"/>
          </w:p>
        </w:tc>
        <w:tc>
          <w:tcPr>
            <w:tcW w:w="1002" w:type="dxa"/>
            <w:vMerge w:val="continue"/>
            <w:vAlign w:val="center"/>
          </w:tcPr>
          <w:p w14:paraId="4242253D">
            <w:pPr>
              <w:adjustRightInd w:val="0"/>
              <w:snapToGrid w:val="0"/>
              <w:spacing w:before="24" w:beforeLines="10" w:after="24" w:afterLines="10" w:line="360" w:lineRule="exact"/>
              <w:jc w:val="center"/>
              <w:rPr>
                <w:rFonts w:hint="eastAsia" w:ascii="宋体" w:hAnsi="宋体"/>
                <w:bCs/>
                <w:highlight w:val="none"/>
              </w:rPr>
            </w:pPr>
          </w:p>
        </w:tc>
        <w:tc>
          <w:tcPr>
            <w:tcW w:w="993" w:type="dxa"/>
            <w:vMerge w:val="continue"/>
            <w:vAlign w:val="center"/>
          </w:tcPr>
          <w:p w14:paraId="7E9B7537">
            <w:pPr>
              <w:adjustRightInd w:val="0"/>
              <w:snapToGrid w:val="0"/>
              <w:spacing w:before="24" w:beforeLines="10" w:after="24" w:afterLines="10" w:line="360" w:lineRule="exact"/>
              <w:jc w:val="center"/>
              <w:rPr>
                <w:rFonts w:hint="eastAsia" w:ascii="宋体" w:hAnsi="宋体"/>
                <w:bCs/>
                <w:highlight w:val="none"/>
              </w:rPr>
            </w:pPr>
          </w:p>
        </w:tc>
        <w:tc>
          <w:tcPr>
            <w:tcW w:w="2266" w:type="dxa"/>
            <w:vAlign w:val="center"/>
          </w:tcPr>
          <w:p w14:paraId="10A608E1">
            <w:pPr>
              <w:adjustRightInd w:val="0"/>
              <w:snapToGrid w:val="0"/>
              <w:spacing w:before="24" w:beforeLines="10" w:after="24" w:afterLines="10" w:line="360" w:lineRule="exact"/>
              <w:jc w:val="left"/>
              <w:rPr>
                <w:rFonts w:hint="eastAsia" w:ascii="宋体" w:hAnsi="宋体"/>
                <w:bCs/>
                <w:highlight w:val="none"/>
              </w:rPr>
            </w:pPr>
            <w:r>
              <w:rPr>
                <w:rFonts w:ascii="宋体" w:hAnsi="宋体"/>
                <w:bCs/>
                <w:highlight w:val="none"/>
              </w:rPr>
              <w:t>项目</w:t>
            </w:r>
            <w:r>
              <w:rPr>
                <w:rFonts w:hint="eastAsia" w:ascii="宋体" w:hAnsi="宋体"/>
                <w:bCs/>
                <w:highlight w:val="none"/>
              </w:rPr>
              <w:t>总工</w:t>
            </w:r>
            <w:r>
              <w:rPr>
                <w:rFonts w:ascii="宋体" w:hAnsi="宋体"/>
                <w:bCs/>
                <w:highlight w:val="none"/>
              </w:rPr>
              <w:t>任职</w:t>
            </w:r>
            <w:r>
              <w:rPr>
                <w:rFonts w:hint="eastAsia" w:ascii="宋体" w:hAnsi="宋体"/>
                <w:bCs/>
                <w:highlight w:val="none"/>
              </w:rPr>
              <w:t>资格与业绩</w:t>
            </w:r>
          </w:p>
        </w:tc>
        <w:tc>
          <w:tcPr>
            <w:tcW w:w="709" w:type="dxa"/>
            <w:vAlign w:val="center"/>
          </w:tcPr>
          <w:p w14:paraId="4CAF474D">
            <w:pPr>
              <w:adjustRightInd w:val="0"/>
              <w:snapToGrid w:val="0"/>
              <w:spacing w:before="24" w:beforeLines="10" w:after="24" w:afterLines="10" w:line="360" w:lineRule="exact"/>
              <w:jc w:val="center"/>
              <w:rPr>
                <w:rFonts w:hint="eastAsia" w:ascii="宋体" w:hAnsi="宋体"/>
                <w:bCs/>
                <w:highlight w:val="none"/>
              </w:rPr>
            </w:pPr>
            <w:r>
              <w:rPr>
                <w:rFonts w:hint="eastAsia" w:ascii="宋体" w:hAnsi="宋体"/>
                <w:bCs/>
                <w:highlight w:val="none"/>
              </w:rPr>
              <w:t>10</w:t>
            </w:r>
          </w:p>
        </w:tc>
        <w:tc>
          <w:tcPr>
            <w:tcW w:w="4138" w:type="dxa"/>
            <w:vAlign w:val="center"/>
          </w:tcPr>
          <w:p w14:paraId="2739B972">
            <w:pPr>
              <w:adjustRightInd w:val="0"/>
              <w:snapToGrid w:val="0"/>
              <w:spacing w:before="24" w:beforeLines="10" w:after="24" w:afterLines="10" w:line="360" w:lineRule="exact"/>
              <w:jc w:val="left"/>
              <w:rPr>
                <w:rFonts w:hint="eastAsia" w:ascii="宋体" w:hAnsi="宋体"/>
                <w:bCs/>
                <w:szCs w:val="21"/>
                <w:highlight w:val="none"/>
              </w:rPr>
            </w:pPr>
            <w:r>
              <w:rPr>
                <w:rFonts w:hint="eastAsia" w:ascii="宋体" w:hAnsi="宋体"/>
                <w:bCs/>
                <w:highlight w:val="none"/>
              </w:rPr>
              <w:t>满足最低资格审查条件得6分，</w:t>
            </w:r>
            <w:r>
              <w:rPr>
                <w:rFonts w:hint="eastAsia" w:ascii="宋体" w:hAnsi="宋体"/>
                <w:bCs/>
                <w:color w:val="000000"/>
                <w:szCs w:val="21"/>
                <w:highlight w:val="none"/>
              </w:rPr>
              <w:t>担任过</w:t>
            </w:r>
            <w:r>
              <w:rPr>
                <w:rFonts w:hint="eastAsia" w:ascii="宋体" w:hAnsi="宋体"/>
                <w:bCs/>
                <w:highlight w:val="none"/>
              </w:rPr>
              <w:t>1项</w:t>
            </w:r>
            <w:r>
              <w:rPr>
                <w:rFonts w:hint="eastAsia" w:ascii="宋体" w:hAnsi="宋体"/>
                <w:bCs/>
                <w:highlight w:val="none"/>
              </w:rPr>
              <w:t>(指1个承包合同)二级或以上公路沥青混凝土路面修复养护工程（</w:t>
            </w:r>
            <w:r>
              <w:rPr>
                <w:rFonts w:ascii="宋体" w:hAnsi="宋体"/>
                <w:bCs/>
                <w:highlight w:val="none"/>
              </w:rPr>
              <w:t>或专项养护工程</w:t>
            </w:r>
            <w:r>
              <w:rPr>
                <w:rFonts w:hint="eastAsia" w:ascii="宋体" w:hAnsi="宋体"/>
                <w:bCs/>
                <w:highlight w:val="none"/>
              </w:rPr>
              <w:t>）施工的项目总工任职经历加4分，最多加4分。</w:t>
            </w:r>
          </w:p>
        </w:tc>
      </w:tr>
      <w:bookmarkEnd w:id="125"/>
    </w:tbl>
    <w:p w14:paraId="5366116A">
      <w:pPr>
        <w:spacing w:line="360" w:lineRule="exact"/>
        <w:rPr>
          <w:bCs/>
          <w:highlight w:val="none"/>
        </w:rPr>
      </w:pPr>
      <w:r>
        <w:rPr>
          <w:bCs/>
          <w:highlight w:val="none"/>
        </w:rPr>
        <w:br w:type="page"/>
      </w:r>
    </w:p>
    <w:p w14:paraId="0DB6EE5F">
      <w:pPr>
        <w:spacing w:line="360" w:lineRule="exact"/>
        <w:jc w:val="left"/>
        <w:rPr>
          <w:bCs/>
          <w:highlight w:val="none"/>
        </w:rPr>
      </w:pPr>
      <w:r>
        <w:rPr>
          <w:rFonts w:hint="eastAsia"/>
          <w:bCs/>
          <w:highlight w:val="none"/>
        </w:rPr>
        <w:t>续上表</w:t>
      </w:r>
    </w:p>
    <w:tbl>
      <w:tblPr>
        <w:tblStyle w:val="57"/>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588"/>
        <w:gridCol w:w="500"/>
        <w:gridCol w:w="502"/>
        <w:gridCol w:w="993"/>
        <w:gridCol w:w="991"/>
        <w:gridCol w:w="851"/>
        <w:gridCol w:w="5270"/>
      </w:tblGrid>
      <w:tr w14:paraId="0950DB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60" w:hRule="atLeast"/>
          <w:tblHeader/>
        </w:trPr>
        <w:tc>
          <w:tcPr>
            <w:tcW w:w="303" w:type="pct"/>
            <w:vMerge w:val="restart"/>
            <w:tcBorders>
              <w:top w:val="single" w:color="auto" w:sz="4" w:space="0"/>
              <w:left w:val="single" w:color="auto" w:sz="4" w:space="0"/>
              <w:right w:val="single" w:color="auto" w:sz="4" w:space="0"/>
            </w:tcBorders>
            <w:vAlign w:val="center"/>
          </w:tcPr>
          <w:p w14:paraId="3DE36457">
            <w:pPr>
              <w:adjustRightInd w:val="0"/>
              <w:snapToGrid w:val="0"/>
              <w:spacing w:before="24" w:beforeLines="10" w:after="24" w:afterLines="10" w:line="360" w:lineRule="exact"/>
              <w:jc w:val="center"/>
              <w:rPr>
                <w:rFonts w:hint="eastAsia" w:ascii="宋体" w:hAnsi="宋体"/>
                <w:bCs/>
                <w:highlight w:val="none"/>
              </w:rPr>
            </w:pPr>
            <w:r>
              <w:rPr>
                <w:rFonts w:ascii="宋体" w:hAnsi="宋体"/>
                <w:bCs/>
                <w:highlight w:val="none"/>
              </w:rPr>
              <w:t>条款</w:t>
            </w:r>
          </w:p>
          <w:p w14:paraId="578D2F6D">
            <w:pPr>
              <w:adjustRightInd w:val="0"/>
              <w:snapToGrid w:val="0"/>
              <w:spacing w:before="24" w:beforeLines="10" w:after="24" w:afterLines="10" w:line="360" w:lineRule="exact"/>
              <w:jc w:val="center"/>
              <w:rPr>
                <w:rFonts w:hint="eastAsia" w:ascii="宋体" w:hAnsi="宋体"/>
                <w:bCs/>
                <w:highlight w:val="none"/>
              </w:rPr>
            </w:pPr>
            <w:r>
              <w:rPr>
                <w:rFonts w:ascii="宋体" w:hAnsi="宋体"/>
                <w:bCs/>
                <w:highlight w:val="none"/>
              </w:rPr>
              <w:t>号</w:t>
            </w:r>
          </w:p>
        </w:tc>
        <w:tc>
          <w:tcPr>
            <w:tcW w:w="1979" w:type="pct"/>
            <w:gridSpan w:val="5"/>
            <w:tcBorders>
              <w:top w:val="single" w:color="auto" w:sz="4" w:space="0"/>
              <w:left w:val="single" w:color="auto" w:sz="4" w:space="0"/>
              <w:right w:val="single" w:color="auto" w:sz="4" w:space="0"/>
            </w:tcBorders>
            <w:vAlign w:val="center"/>
          </w:tcPr>
          <w:p w14:paraId="5E614FEC">
            <w:pPr>
              <w:adjustRightInd w:val="0"/>
              <w:snapToGrid w:val="0"/>
              <w:spacing w:before="24" w:beforeLines="10" w:after="24" w:afterLines="10" w:line="360" w:lineRule="exact"/>
              <w:jc w:val="center"/>
              <w:rPr>
                <w:rFonts w:hint="eastAsia" w:ascii="宋体" w:hAnsi="宋体"/>
                <w:bCs/>
                <w:highlight w:val="none"/>
              </w:rPr>
            </w:pPr>
            <w:r>
              <w:rPr>
                <w:rFonts w:ascii="宋体" w:hAnsi="宋体"/>
                <w:bCs/>
                <w:highlight w:val="none"/>
              </w:rPr>
              <w:t>评分因素与拟定权重分值</w:t>
            </w:r>
          </w:p>
        </w:tc>
        <w:tc>
          <w:tcPr>
            <w:tcW w:w="2718" w:type="pct"/>
            <w:vMerge w:val="restart"/>
            <w:tcBorders>
              <w:top w:val="single" w:color="auto" w:sz="4" w:space="0"/>
              <w:left w:val="single" w:color="auto" w:sz="4" w:space="0"/>
              <w:right w:val="single" w:color="auto" w:sz="4" w:space="0"/>
            </w:tcBorders>
            <w:vAlign w:val="center"/>
          </w:tcPr>
          <w:p w14:paraId="5643FD14">
            <w:pPr>
              <w:adjustRightInd w:val="0"/>
              <w:snapToGrid w:val="0"/>
              <w:spacing w:before="24" w:beforeLines="10" w:after="24" w:afterLines="10" w:line="360" w:lineRule="exact"/>
              <w:jc w:val="center"/>
              <w:rPr>
                <w:rFonts w:hint="eastAsia" w:ascii="宋体" w:hAnsi="宋体"/>
                <w:bCs/>
                <w:highlight w:val="none"/>
              </w:rPr>
            </w:pPr>
            <w:r>
              <w:rPr>
                <w:rFonts w:ascii="宋体" w:hAnsi="宋体"/>
                <w:bCs/>
                <w:highlight w:val="none"/>
              </w:rPr>
              <w:t>评分标准</w:t>
            </w:r>
          </w:p>
        </w:tc>
      </w:tr>
      <w:tr w14:paraId="463C6A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340" w:hRule="atLeast"/>
          <w:tblHeader/>
        </w:trPr>
        <w:tc>
          <w:tcPr>
            <w:tcW w:w="303" w:type="pct"/>
            <w:vMerge w:val="continue"/>
            <w:tcBorders>
              <w:left w:val="single" w:color="auto" w:sz="4" w:space="0"/>
              <w:bottom w:val="single" w:color="auto" w:sz="4" w:space="0"/>
              <w:right w:val="single" w:color="auto" w:sz="4" w:space="0"/>
            </w:tcBorders>
            <w:vAlign w:val="center"/>
          </w:tcPr>
          <w:p w14:paraId="7DF36C48">
            <w:pPr>
              <w:adjustRightInd w:val="0"/>
              <w:snapToGrid w:val="0"/>
              <w:spacing w:before="24" w:beforeLines="10" w:after="24" w:afterLines="10" w:line="360" w:lineRule="exact"/>
              <w:jc w:val="center"/>
              <w:rPr>
                <w:rFonts w:hint="eastAsia" w:ascii="宋体" w:hAnsi="宋体"/>
                <w:bCs/>
                <w:highlight w:val="none"/>
              </w:rPr>
            </w:pPr>
          </w:p>
        </w:tc>
        <w:tc>
          <w:tcPr>
            <w:tcW w:w="517" w:type="pct"/>
            <w:gridSpan w:val="2"/>
            <w:tcBorders>
              <w:left w:val="single" w:color="auto" w:sz="4" w:space="0"/>
            </w:tcBorders>
            <w:vAlign w:val="center"/>
          </w:tcPr>
          <w:p w14:paraId="7E8E0A8D">
            <w:pPr>
              <w:adjustRightInd w:val="0"/>
              <w:snapToGrid w:val="0"/>
              <w:spacing w:before="24" w:beforeLines="10" w:after="24" w:afterLines="10" w:line="360" w:lineRule="exact"/>
              <w:jc w:val="center"/>
              <w:rPr>
                <w:rFonts w:hint="eastAsia" w:ascii="宋体" w:hAnsi="宋体"/>
                <w:bCs/>
                <w:highlight w:val="none"/>
              </w:rPr>
            </w:pPr>
            <w:r>
              <w:rPr>
                <w:rFonts w:ascii="宋体" w:hAnsi="宋体"/>
                <w:bCs/>
                <w:highlight w:val="none"/>
              </w:rPr>
              <w:t>评分</w:t>
            </w:r>
            <w:r>
              <w:rPr>
                <w:rFonts w:ascii="宋体" w:hAnsi="宋体"/>
                <w:bCs/>
                <w:highlight w:val="none"/>
              </w:rPr>
              <w:br w:type="textWrapping"/>
            </w:r>
            <w:r>
              <w:rPr>
                <w:rFonts w:ascii="宋体" w:hAnsi="宋体"/>
                <w:bCs/>
                <w:highlight w:val="none"/>
              </w:rPr>
              <w:t>因素</w:t>
            </w:r>
          </w:p>
        </w:tc>
        <w:tc>
          <w:tcPr>
            <w:tcW w:w="512" w:type="pct"/>
            <w:vAlign w:val="center"/>
          </w:tcPr>
          <w:p w14:paraId="2A37C1EE">
            <w:pPr>
              <w:adjustRightInd w:val="0"/>
              <w:snapToGrid w:val="0"/>
              <w:spacing w:before="24" w:beforeLines="10" w:after="24" w:afterLines="10" w:line="360" w:lineRule="exact"/>
              <w:jc w:val="center"/>
              <w:rPr>
                <w:rFonts w:hint="eastAsia" w:ascii="宋体" w:hAnsi="宋体"/>
                <w:bCs/>
                <w:highlight w:val="none"/>
              </w:rPr>
            </w:pPr>
            <w:r>
              <w:rPr>
                <w:rFonts w:ascii="宋体" w:hAnsi="宋体"/>
                <w:bCs/>
                <w:highlight w:val="none"/>
              </w:rPr>
              <w:t>评分因素</w:t>
            </w:r>
            <w:r>
              <w:rPr>
                <w:rFonts w:ascii="宋体" w:hAnsi="宋体"/>
                <w:bCs/>
                <w:highlight w:val="none"/>
              </w:rPr>
              <w:br w:type="textWrapping"/>
            </w:r>
            <w:r>
              <w:rPr>
                <w:rFonts w:ascii="宋体" w:hAnsi="宋体"/>
                <w:bCs/>
                <w:highlight w:val="none"/>
              </w:rPr>
              <w:t>权重分值</w:t>
            </w:r>
          </w:p>
        </w:tc>
        <w:tc>
          <w:tcPr>
            <w:tcW w:w="511" w:type="pct"/>
            <w:vAlign w:val="center"/>
          </w:tcPr>
          <w:p w14:paraId="381780EF">
            <w:pPr>
              <w:adjustRightInd w:val="0"/>
              <w:snapToGrid w:val="0"/>
              <w:spacing w:before="24" w:beforeLines="10" w:after="24" w:afterLines="10" w:line="360" w:lineRule="exact"/>
              <w:jc w:val="center"/>
              <w:rPr>
                <w:rFonts w:hint="eastAsia" w:ascii="宋体" w:hAnsi="宋体"/>
                <w:bCs/>
                <w:highlight w:val="none"/>
              </w:rPr>
            </w:pPr>
            <w:r>
              <w:rPr>
                <w:rFonts w:ascii="宋体" w:hAnsi="宋体"/>
                <w:bCs/>
                <w:highlight w:val="none"/>
              </w:rPr>
              <w:t>各评分因</w:t>
            </w:r>
          </w:p>
          <w:p w14:paraId="78BA1083">
            <w:pPr>
              <w:adjustRightInd w:val="0"/>
              <w:snapToGrid w:val="0"/>
              <w:spacing w:before="24" w:beforeLines="10" w:after="24" w:afterLines="10" w:line="360" w:lineRule="exact"/>
              <w:jc w:val="center"/>
              <w:rPr>
                <w:rFonts w:hint="eastAsia" w:ascii="宋体" w:hAnsi="宋体"/>
                <w:bCs/>
                <w:highlight w:val="none"/>
              </w:rPr>
            </w:pPr>
            <w:r>
              <w:rPr>
                <w:rFonts w:ascii="宋体" w:hAnsi="宋体"/>
                <w:bCs/>
                <w:highlight w:val="none"/>
              </w:rPr>
              <w:t>素细分项</w:t>
            </w:r>
          </w:p>
        </w:tc>
        <w:tc>
          <w:tcPr>
            <w:tcW w:w="439" w:type="pct"/>
            <w:tcBorders>
              <w:right w:val="single" w:color="auto" w:sz="4" w:space="0"/>
            </w:tcBorders>
            <w:vAlign w:val="center"/>
          </w:tcPr>
          <w:p w14:paraId="15185A91">
            <w:pPr>
              <w:adjustRightInd w:val="0"/>
              <w:snapToGrid w:val="0"/>
              <w:spacing w:before="24" w:beforeLines="10" w:after="24" w:afterLines="10" w:line="360" w:lineRule="exact"/>
              <w:jc w:val="center"/>
              <w:rPr>
                <w:rFonts w:hint="eastAsia" w:ascii="宋体" w:hAnsi="宋体"/>
                <w:bCs/>
                <w:highlight w:val="none"/>
              </w:rPr>
            </w:pPr>
            <w:r>
              <w:rPr>
                <w:rFonts w:ascii="宋体" w:hAnsi="宋体"/>
                <w:bCs/>
                <w:highlight w:val="none"/>
              </w:rPr>
              <w:t>分值</w:t>
            </w:r>
          </w:p>
        </w:tc>
        <w:tc>
          <w:tcPr>
            <w:tcW w:w="2718" w:type="pct"/>
            <w:vMerge w:val="continue"/>
            <w:tcBorders>
              <w:left w:val="single" w:color="auto" w:sz="4" w:space="0"/>
              <w:right w:val="single" w:color="auto" w:sz="4" w:space="0"/>
            </w:tcBorders>
            <w:vAlign w:val="center"/>
          </w:tcPr>
          <w:p w14:paraId="62573295">
            <w:pPr>
              <w:adjustRightInd w:val="0"/>
              <w:snapToGrid w:val="0"/>
              <w:spacing w:before="24" w:beforeLines="10" w:after="24" w:afterLines="10" w:line="360" w:lineRule="exact"/>
              <w:jc w:val="center"/>
              <w:rPr>
                <w:rFonts w:hint="eastAsia" w:ascii="宋体" w:hAnsi="宋体"/>
                <w:bCs/>
                <w:highlight w:val="none"/>
              </w:rPr>
            </w:pPr>
          </w:p>
        </w:tc>
      </w:tr>
      <w:tr w14:paraId="7A6CD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86" w:hRule="atLeast"/>
        </w:trPr>
        <w:tc>
          <w:tcPr>
            <w:tcW w:w="303" w:type="pct"/>
            <w:vMerge w:val="restart"/>
            <w:vAlign w:val="center"/>
          </w:tcPr>
          <w:p w14:paraId="303E7286">
            <w:pPr>
              <w:adjustRightInd w:val="0"/>
              <w:snapToGrid w:val="0"/>
              <w:spacing w:before="48" w:beforeLines="20" w:after="48" w:afterLines="20" w:line="360" w:lineRule="exact"/>
              <w:jc w:val="center"/>
              <w:rPr>
                <w:rFonts w:hint="eastAsia" w:ascii="宋体" w:hAnsi="宋体"/>
                <w:bCs/>
                <w:highlight w:val="none"/>
              </w:rPr>
            </w:pPr>
            <w:r>
              <w:rPr>
                <w:rFonts w:ascii="宋体" w:hAnsi="宋体"/>
                <w:bCs/>
                <w:highlight w:val="none"/>
              </w:rPr>
              <w:t>2.2.</w:t>
            </w:r>
            <w:r>
              <w:rPr>
                <w:rFonts w:hint="eastAsia" w:ascii="宋体" w:hAnsi="宋体"/>
                <w:bCs/>
                <w:highlight w:val="none"/>
              </w:rPr>
              <w:t>2</w:t>
            </w:r>
            <w:r>
              <w:rPr>
                <w:rFonts w:ascii="宋体" w:hAnsi="宋体"/>
                <w:bCs/>
                <w:highlight w:val="none"/>
              </w:rPr>
              <w:t>（</w:t>
            </w:r>
            <w:r>
              <w:rPr>
                <w:rFonts w:hint="eastAsia" w:ascii="宋体" w:hAnsi="宋体"/>
                <w:bCs/>
                <w:highlight w:val="none"/>
              </w:rPr>
              <w:t>3</w:t>
            </w:r>
            <w:r>
              <w:rPr>
                <w:rFonts w:ascii="宋体" w:hAnsi="宋体"/>
                <w:bCs/>
                <w:highlight w:val="none"/>
              </w:rPr>
              <w:t>）</w:t>
            </w:r>
          </w:p>
        </w:tc>
        <w:tc>
          <w:tcPr>
            <w:tcW w:w="258" w:type="pct"/>
            <w:vMerge w:val="restart"/>
            <w:vAlign w:val="center"/>
          </w:tcPr>
          <w:p w14:paraId="66BC5D50">
            <w:pPr>
              <w:adjustRightInd w:val="0"/>
              <w:snapToGrid w:val="0"/>
              <w:spacing w:before="48" w:beforeLines="20" w:after="48" w:afterLines="20" w:line="360" w:lineRule="exact"/>
              <w:ind w:left="113" w:right="113"/>
              <w:jc w:val="center"/>
              <w:rPr>
                <w:rFonts w:hint="eastAsia" w:ascii="宋体" w:hAnsi="宋体"/>
                <w:bCs/>
                <w:highlight w:val="none"/>
              </w:rPr>
            </w:pPr>
            <w:r>
              <w:rPr>
                <w:rFonts w:hint="eastAsia" w:ascii="宋体" w:hAnsi="宋体"/>
                <w:bCs/>
                <w:highlight w:val="none"/>
              </w:rPr>
              <w:t>其他因素</w:t>
            </w:r>
          </w:p>
        </w:tc>
        <w:tc>
          <w:tcPr>
            <w:tcW w:w="259" w:type="pct"/>
            <w:vAlign w:val="center"/>
          </w:tcPr>
          <w:p w14:paraId="6354AFB6">
            <w:pPr>
              <w:adjustRightInd w:val="0"/>
              <w:snapToGrid w:val="0"/>
              <w:spacing w:before="48" w:beforeLines="20" w:after="48" w:afterLines="20" w:line="360" w:lineRule="exact"/>
              <w:ind w:left="113" w:right="113"/>
              <w:jc w:val="center"/>
              <w:rPr>
                <w:rFonts w:hint="eastAsia" w:ascii="宋体" w:hAnsi="宋体"/>
                <w:bCs/>
                <w:highlight w:val="none"/>
              </w:rPr>
            </w:pPr>
            <w:r>
              <w:rPr>
                <w:rFonts w:hint="eastAsia" w:ascii="宋体" w:hAnsi="宋体"/>
                <w:bCs/>
                <w:highlight w:val="none"/>
              </w:rPr>
              <w:t>企业业绩</w:t>
            </w:r>
          </w:p>
        </w:tc>
        <w:tc>
          <w:tcPr>
            <w:tcW w:w="512" w:type="pct"/>
            <w:vAlign w:val="center"/>
          </w:tcPr>
          <w:p w14:paraId="42E5B74D">
            <w:pPr>
              <w:adjustRightInd w:val="0"/>
              <w:snapToGrid w:val="0"/>
              <w:spacing w:before="48" w:beforeLines="20" w:after="48" w:afterLines="20" w:line="360" w:lineRule="exact"/>
              <w:jc w:val="center"/>
              <w:rPr>
                <w:rFonts w:hint="eastAsia" w:ascii="宋体" w:hAnsi="宋体"/>
                <w:bCs/>
                <w:highlight w:val="none"/>
              </w:rPr>
            </w:pPr>
            <w:r>
              <w:rPr>
                <w:rFonts w:hint="eastAsia" w:ascii="宋体" w:hAnsi="宋体"/>
                <w:bCs/>
                <w:highlight w:val="none"/>
              </w:rPr>
              <w:t>2</w:t>
            </w:r>
            <w:r>
              <w:rPr>
                <w:rFonts w:ascii="宋体" w:hAnsi="宋体"/>
                <w:bCs/>
                <w:highlight w:val="none"/>
              </w:rPr>
              <w:t>0分</w:t>
            </w:r>
          </w:p>
        </w:tc>
        <w:tc>
          <w:tcPr>
            <w:tcW w:w="511" w:type="pct"/>
            <w:vAlign w:val="center"/>
          </w:tcPr>
          <w:p w14:paraId="52929941">
            <w:pPr>
              <w:adjustRightInd w:val="0"/>
              <w:snapToGrid w:val="0"/>
              <w:spacing w:before="48" w:beforeLines="20" w:after="48" w:afterLines="20" w:line="360" w:lineRule="exact"/>
              <w:jc w:val="center"/>
              <w:rPr>
                <w:rFonts w:hint="eastAsia" w:ascii="宋体" w:hAnsi="宋体"/>
                <w:bCs/>
                <w:highlight w:val="none"/>
              </w:rPr>
            </w:pPr>
            <w:r>
              <w:rPr>
                <w:rFonts w:hint="eastAsia" w:ascii="宋体" w:hAnsi="宋体"/>
                <w:bCs/>
                <w:highlight w:val="none"/>
              </w:rPr>
              <w:t>企业</w:t>
            </w:r>
          </w:p>
          <w:p w14:paraId="01B5EB2E">
            <w:pPr>
              <w:adjustRightInd w:val="0"/>
              <w:snapToGrid w:val="0"/>
              <w:spacing w:before="48" w:beforeLines="20" w:after="48" w:afterLines="20" w:line="360" w:lineRule="exact"/>
              <w:jc w:val="center"/>
              <w:rPr>
                <w:rFonts w:hint="eastAsia" w:ascii="宋体" w:hAnsi="宋体"/>
                <w:bCs/>
                <w:szCs w:val="21"/>
                <w:highlight w:val="none"/>
              </w:rPr>
            </w:pPr>
            <w:r>
              <w:rPr>
                <w:rFonts w:hint="eastAsia" w:ascii="宋体" w:hAnsi="宋体"/>
                <w:bCs/>
                <w:highlight w:val="none"/>
              </w:rPr>
              <w:t>业绩</w:t>
            </w:r>
          </w:p>
        </w:tc>
        <w:tc>
          <w:tcPr>
            <w:tcW w:w="439" w:type="pct"/>
            <w:vAlign w:val="center"/>
          </w:tcPr>
          <w:p w14:paraId="3B0BEDE5">
            <w:pPr>
              <w:adjustRightInd w:val="0"/>
              <w:snapToGrid w:val="0"/>
              <w:spacing w:before="48" w:beforeLines="20" w:after="48" w:afterLines="20" w:line="360" w:lineRule="exact"/>
              <w:jc w:val="center"/>
              <w:rPr>
                <w:rFonts w:hint="eastAsia" w:ascii="宋体" w:hAnsi="宋体"/>
                <w:bCs/>
                <w:szCs w:val="21"/>
                <w:highlight w:val="none"/>
              </w:rPr>
            </w:pPr>
            <w:r>
              <w:rPr>
                <w:rFonts w:hint="eastAsia" w:ascii="宋体" w:hAnsi="宋体"/>
                <w:bCs/>
                <w:highlight w:val="none"/>
              </w:rPr>
              <w:t>20</w:t>
            </w:r>
          </w:p>
        </w:tc>
        <w:tc>
          <w:tcPr>
            <w:tcW w:w="2718" w:type="pct"/>
            <w:vAlign w:val="center"/>
          </w:tcPr>
          <w:p w14:paraId="43D1E9A7">
            <w:pPr>
              <w:pStyle w:val="27"/>
              <w:spacing w:line="360" w:lineRule="exact"/>
              <w:rPr>
                <w:bCs/>
                <w:highlight w:val="none"/>
              </w:rPr>
            </w:pPr>
            <w:bookmarkStart w:id="126" w:name="OLE_LINK18"/>
            <w:r>
              <w:rPr>
                <w:rFonts w:hint="eastAsia"/>
                <w:bCs/>
                <w:highlight w:val="none"/>
              </w:rPr>
              <w:t>投标人通过形式评审与响应性评审、资格评审得12分；2</w:t>
            </w:r>
            <w:r>
              <w:rPr>
                <w:rFonts w:hint="eastAsia"/>
                <w:bCs/>
                <w:highlight w:val="none"/>
              </w:rPr>
              <w:t>021年1月1日</w:t>
            </w:r>
            <w:r>
              <w:rPr>
                <w:rFonts w:hint="eastAsia"/>
                <w:bCs/>
                <w:highlight w:val="none"/>
              </w:rPr>
              <w:t>后（两阶段验收工程以交工时间为准，一阶段验收工程以交工或竣工时间为准），</w:t>
            </w:r>
            <w:r>
              <w:rPr>
                <w:rFonts w:hint="eastAsia" w:ascii="黑体" w:hAnsi="黑体" w:eastAsia="黑体"/>
                <w:bCs/>
                <w:highlight w:val="none"/>
              </w:rPr>
              <w:t>累计完</w:t>
            </w:r>
            <w:r>
              <w:rPr>
                <w:rFonts w:hint="eastAsia" w:ascii="黑体" w:hAnsi="黑体" w:eastAsia="黑体"/>
                <w:bCs/>
                <w:highlight w:val="none"/>
              </w:rPr>
              <w:t>成10公</w:t>
            </w:r>
            <w:r>
              <w:rPr>
                <w:rFonts w:hint="eastAsia" w:ascii="黑体" w:hAnsi="黑体" w:eastAsia="黑体"/>
                <w:bCs/>
                <w:highlight w:val="none"/>
              </w:rPr>
              <w:t>里</w:t>
            </w:r>
            <w:r>
              <w:rPr>
                <w:rFonts w:hint="eastAsia"/>
                <w:bCs/>
                <w:highlight w:val="none"/>
              </w:rPr>
              <w:t>二级或以上公路沥青混凝土</w:t>
            </w:r>
            <w:r>
              <w:rPr>
                <w:rFonts w:hint="eastAsia" w:hAnsi="宋体"/>
                <w:bCs/>
                <w:highlight w:val="none"/>
              </w:rPr>
              <w:t>路面修复养护工程（</w:t>
            </w:r>
            <w:r>
              <w:rPr>
                <w:rFonts w:hAnsi="宋体"/>
                <w:bCs/>
                <w:highlight w:val="none"/>
              </w:rPr>
              <w:t>或专项养护工程</w:t>
            </w:r>
            <w:r>
              <w:rPr>
                <w:rFonts w:hint="eastAsia" w:hAnsi="宋体"/>
                <w:bCs/>
                <w:highlight w:val="none"/>
              </w:rPr>
              <w:t>）</w:t>
            </w:r>
            <w:r>
              <w:rPr>
                <w:rFonts w:hint="eastAsia"/>
                <w:bCs/>
                <w:highlight w:val="none"/>
              </w:rPr>
              <w:t>的施工业绩（高速公路、一级公路全幅按2倍长度计算，半幅按1倍长度计算）得20分，</w:t>
            </w:r>
            <w:r>
              <w:rPr>
                <w:rFonts w:hint="eastAsia" w:ascii="黑体" w:hAnsi="黑体" w:eastAsia="黑体"/>
                <w:bCs/>
                <w:highlight w:val="none"/>
              </w:rPr>
              <w:t>0～10公里得分在12分～20分之间内插计算</w:t>
            </w:r>
            <w:r>
              <w:rPr>
                <w:rFonts w:hint="eastAsia"/>
                <w:bCs/>
                <w:highlight w:val="none"/>
              </w:rPr>
              <w:t>。</w:t>
            </w:r>
          </w:p>
          <w:p w14:paraId="53B24E26">
            <w:pPr>
              <w:pStyle w:val="27"/>
              <w:spacing w:line="360" w:lineRule="exact"/>
              <w:rPr>
                <w:rFonts w:hint="eastAsia" w:hAnsi="宋体"/>
                <w:bCs/>
                <w:highlight w:val="none"/>
              </w:rPr>
            </w:pPr>
            <w:r>
              <w:rPr>
                <w:rFonts w:hint="eastAsia" w:ascii="楷体" w:hAnsi="楷体" w:eastAsia="楷体"/>
                <w:bCs/>
                <w:highlight w:val="none"/>
              </w:rPr>
              <w:t>注：以联合体形式投标的，</w:t>
            </w:r>
            <w:r>
              <w:rPr>
                <w:rFonts w:hint="eastAsia" w:ascii="楷体" w:hAnsi="楷体" w:eastAsia="楷体"/>
                <w:bCs/>
                <w:highlight w:val="none"/>
              </w:rPr>
              <w:t>按联合体牵头人的业绩计</w:t>
            </w:r>
            <w:r>
              <w:rPr>
                <w:rFonts w:hint="eastAsia" w:ascii="楷体" w:hAnsi="楷体" w:eastAsia="楷体"/>
                <w:bCs/>
                <w:highlight w:val="none"/>
              </w:rPr>
              <w:t>算业绩得分。</w:t>
            </w:r>
            <w:bookmarkEnd w:id="126"/>
          </w:p>
        </w:tc>
      </w:tr>
      <w:tr w14:paraId="77DBA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303" w:type="pct"/>
            <w:vMerge w:val="continue"/>
            <w:vAlign w:val="center"/>
          </w:tcPr>
          <w:p w14:paraId="42413FA8">
            <w:pPr>
              <w:adjustRightInd w:val="0"/>
              <w:snapToGrid w:val="0"/>
              <w:spacing w:before="48" w:beforeLines="20" w:after="48" w:afterLines="20" w:line="360" w:lineRule="exact"/>
              <w:jc w:val="center"/>
              <w:rPr>
                <w:rFonts w:hint="eastAsia" w:ascii="宋体" w:hAnsi="宋体"/>
                <w:bCs/>
                <w:highlight w:val="none"/>
              </w:rPr>
            </w:pPr>
          </w:p>
        </w:tc>
        <w:tc>
          <w:tcPr>
            <w:tcW w:w="258" w:type="pct"/>
            <w:vMerge w:val="continue"/>
            <w:vAlign w:val="center"/>
          </w:tcPr>
          <w:p w14:paraId="5C33E872">
            <w:pPr>
              <w:adjustRightInd w:val="0"/>
              <w:snapToGrid w:val="0"/>
              <w:spacing w:before="48" w:beforeLines="20" w:after="48" w:afterLines="20" w:line="360" w:lineRule="exact"/>
              <w:ind w:left="113" w:right="113"/>
              <w:jc w:val="center"/>
              <w:rPr>
                <w:rFonts w:hint="eastAsia" w:ascii="宋体" w:hAnsi="宋体"/>
                <w:bCs/>
                <w:highlight w:val="none"/>
              </w:rPr>
            </w:pPr>
          </w:p>
        </w:tc>
        <w:tc>
          <w:tcPr>
            <w:tcW w:w="259" w:type="pct"/>
            <w:vMerge w:val="restart"/>
            <w:vAlign w:val="center"/>
          </w:tcPr>
          <w:p w14:paraId="4E694424">
            <w:pPr>
              <w:adjustRightInd w:val="0"/>
              <w:snapToGrid w:val="0"/>
              <w:spacing w:before="48" w:beforeLines="20" w:after="48" w:afterLines="20" w:line="360" w:lineRule="exact"/>
              <w:ind w:left="113" w:right="113"/>
              <w:jc w:val="center"/>
              <w:rPr>
                <w:rFonts w:hint="eastAsia" w:ascii="宋体" w:hAnsi="宋体"/>
                <w:bCs/>
                <w:highlight w:val="none"/>
              </w:rPr>
            </w:pPr>
            <w:r>
              <w:rPr>
                <w:rFonts w:hint="eastAsia" w:ascii="宋体" w:hAnsi="宋体"/>
                <w:bCs/>
                <w:highlight w:val="none"/>
              </w:rPr>
              <w:t>履约信誉</w:t>
            </w:r>
          </w:p>
        </w:tc>
        <w:tc>
          <w:tcPr>
            <w:tcW w:w="512" w:type="pct"/>
            <w:vAlign w:val="center"/>
          </w:tcPr>
          <w:p w14:paraId="3767F40B">
            <w:pPr>
              <w:adjustRightInd w:val="0"/>
              <w:snapToGrid w:val="0"/>
              <w:spacing w:before="48" w:beforeLines="20" w:after="48" w:afterLines="20" w:line="360" w:lineRule="exact"/>
              <w:jc w:val="center"/>
              <w:rPr>
                <w:rFonts w:hint="eastAsia" w:ascii="宋体" w:hAnsi="宋体"/>
                <w:bCs/>
                <w:highlight w:val="none"/>
              </w:rPr>
            </w:pPr>
            <w:r>
              <w:rPr>
                <w:rFonts w:hint="eastAsia" w:ascii="宋体" w:hAnsi="宋体"/>
                <w:bCs/>
                <w:highlight w:val="none"/>
              </w:rPr>
              <w:t>15分</w:t>
            </w:r>
          </w:p>
        </w:tc>
        <w:tc>
          <w:tcPr>
            <w:tcW w:w="511" w:type="pct"/>
            <w:vAlign w:val="center"/>
          </w:tcPr>
          <w:p w14:paraId="2A0A111B">
            <w:pPr>
              <w:adjustRightInd w:val="0"/>
              <w:snapToGrid w:val="0"/>
              <w:spacing w:before="48" w:beforeLines="20" w:after="48" w:afterLines="20" w:line="360" w:lineRule="exact"/>
              <w:jc w:val="left"/>
              <w:rPr>
                <w:rFonts w:hint="eastAsia" w:ascii="宋体" w:hAnsi="宋体"/>
                <w:bCs/>
                <w:highlight w:val="none"/>
              </w:rPr>
            </w:pPr>
            <w:r>
              <w:rPr>
                <w:rFonts w:hint="eastAsia" w:ascii="宋体" w:hAnsi="宋体"/>
                <w:bCs/>
                <w:highlight w:val="none"/>
              </w:rPr>
              <w:t>投标人企业信用等级</w:t>
            </w:r>
          </w:p>
        </w:tc>
        <w:tc>
          <w:tcPr>
            <w:tcW w:w="439" w:type="pct"/>
            <w:vAlign w:val="center"/>
          </w:tcPr>
          <w:p w14:paraId="5F3EFABE">
            <w:pPr>
              <w:adjustRightInd w:val="0"/>
              <w:snapToGrid w:val="0"/>
              <w:spacing w:before="48" w:beforeLines="20" w:after="48" w:afterLines="20" w:line="360" w:lineRule="exact"/>
              <w:jc w:val="center"/>
              <w:rPr>
                <w:rFonts w:hint="eastAsia" w:ascii="宋体" w:hAnsi="宋体"/>
                <w:bCs/>
                <w:highlight w:val="none"/>
              </w:rPr>
            </w:pPr>
            <w:r>
              <w:rPr>
                <w:rFonts w:hint="eastAsia" w:ascii="宋体" w:hAnsi="宋体"/>
                <w:bCs/>
                <w:highlight w:val="none"/>
              </w:rPr>
              <w:t xml:space="preserve">15 </w:t>
            </w:r>
          </w:p>
        </w:tc>
        <w:tc>
          <w:tcPr>
            <w:tcW w:w="2718" w:type="pct"/>
            <w:vAlign w:val="center"/>
          </w:tcPr>
          <w:p w14:paraId="2C7FE401">
            <w:pPr>
              <w:adjustRightInd w:val="0"/>
              <w:snapToGrid w:val="0"/>
              <w:spacing w:before="48" w:beforeLines="20" w:after="48" w:afterLines="20" w:line="360" w:lineRule="exact"/>
              <w:jc w:val="left"/>
              <w:rPr>
                <w:rFonts w:hint="eastAsia" w:ascii="宋体" w:hAnsi="宋体"/>
                <w:bCs/>
                <w:highlight w:val="none"/>
              </w:rPr>
            </w:pPr>
            <w:bookmarkStart w:id="127" w:name="OLE_LINK60"/>
            <w:r>
              <w:rPr>
                <w:rFonts w:hint="eastAsia" w:ascii="宋体" w:hAnsi="宋体"/>
                <w:bCs/>
                <w:highlight w:val="none"/>
              </w:rPr>
              <w:t>信用评价AA级得15分；</w:t>
            </w:r>
          </w:p>
          <w:p w14:paraId="415AB93A">
            <w:pPr>
              <w:adjustRightInd w:val="0"/>
              <w:snapToGrid w:val="0"/>
              <w:spacing w:before="48" w:beforeLines="20" w:after="48" w:afterLines="20" w:line="360" w:lineRule="exact"/>
              <w:jc w:val="left"/>
              <w:rPr>
                <w:rFonts w:hint="eastAsia" w:ascii="宋体" w:hAnsi="宋体"/>
                <w:bCs/>
                <w:highlight w:val="none"/>
              </w:rPr>
            </w:pPr>
            <w:r>
              <w:rPr>
                <w:rFonts w:hint="eastAsia" w:ascii="宋体" w:hAnsi="宋体"/>
                <w:bCs/>
                <w:highlight w:val="none"/>
              </w:rPr>
              <w:t>信用评价A级得12分；</w:t>
            </w:r>
          </w:p>
          <w:p w14:paraId="5080CF1E">
            <w:pPr>
              <w:adjustRightInd w:val="0"/>
              <w:snapToGrid w:val="0"/>
              <w:spacing w:before="48" w:beforeLines="20" w:after="48" w:afterLines="20" w:line="360" w:lineRule="exact"/>
              <w:jc w:val="left"/>
              <w:rPr>
                <w:rFonts w:hint="eastAsia" w:ascii="宋体" w:hAnsi="宋体"/>
                <w:bCs/>
                <w:highlight w:val="none"/>
              </w:rPr>
            </w:pPr>
            <w:r>
              <w:rPr>
                <w:rFonts w:hint="eastAsia" w:ascii="宋体" w:hAnsi="宋体"/>
                <w:bCs/>
                <w:highlight w:val="none"/>
              </w:rPr>
              <w:t>信用评价B 级得9分；</w:t>
            </w:r>
          </w:p>
          <w:p w14:paraId="7896A50F">
            <w:pPr>
              <w:adjustRightInd w:val="0"/>
              <w:snapToGrid w:val="0"/>
              <w:spacing w:before="48" w:beforeLines="20" w:after="48" w:afterLines="20" w:line="360" w:lineRule="exact"/>
              <w:jc w:val="left"/>
              <w:rPr>
                <w:rFonts w:hint="eastAsia" w:ascii="宋体" w:hAnsi="宋体"/>
                <w:bCs/>
                <w:highlight w:val="none"/>
              </w:rPr>
            </w:pPr>
            <w:r>
              <w:rPr>
                <w:rFonts w:hint="eastAsia" w:ascii="宋体" w:hAnsi="宋体"/>
                <w:bCs/>
                <w:highlight w:val="none"/>
              </w:rPr>
              <w:t>信用评价C级得6分；</w:t>
            </w:r>
          </w:p>
          <w:p w14:paraId="38A6F396">
            <w:pPr>
              <w:adjustRightInd w:val="0"/>
              <w:snapToGrid w:val="0"/>
              <w:spacing w:before="48" w:beforeLines="20" w:after="48" w:afterLines="20" w:line="360" w:lineRule="exact"/>
              <w:jc w:val="left"/>
              <w:rPr>
                <w:rFonts w:hint="eastAsia" w:ascii="宋体" w:hAnsi="宋体"/>
                <w:bCs/>
                <w:highlight w:val="none"/>
              </w:rPr>
            </w:pPr>
            <w:r>
              <w:rPr>
                <w:rFonts w:hint="eastAsia" w:ascii="宋体" w:hAnsi="宋体"/>
                <w:bCs/>
                <w:highlight w:val="none"/>
              </w:rPr>
              <w:t>信用评价D级：0分。</w:t>
            </w:r>
            <w:bookmarkEnd w:id="127"/>
          </w:p>
        </w:tc>
      </w:tr>
      <w:tr w14:paraId="35D4E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trPr>
        <w:tc>
          <w:tcPr>
            <w:tcW w:w="303" w:type="pct"/>
            <w:vMerge w:val="continue"/>
            <w:vAlign w:val="center"/>
          </w:tcPr>
          <w:p w14:paraId="3FCBB313">
            <w:pPr>
              <w:adjustRightInd w:val="0"/>
              <w:snapToGrid w:val="0"/>
              <w:spacing w:before="48" w:beforeLines="20" w:after="48" w:afterLines="20" w:line="360" w:lineRule="exact"/>
              <w:jc w:val="center"/>
              <w:rPr>
                <w:rFonts w:hint="eastAsia" w:ascii="楷体" w:hAnsi="楷体" w:eastAsia="楷体"/>
                <w:bCs/>
                <w:highlight w:val="none"/>
              </w:rPr>
            </w:pPr>
          </w:p>
        </w:tc>
        <w:tc>
          <w:tcPr>
            <w:tcW w:w="258" w:type="pct"/>
            <w:vMerge w:val="continue"/>
            <w:vAlign w:val="center"/>
          </w:tcPr>
          <w:p w14:paraId="04A1C4D6">
            <w:pPr>
              <w:adjustRightInd w:val="0"/>
              <w:snapToGrid w:val="0"/>
              <w:spacing w:before="48" w:beforeLines="20" w:after="48" w:afterLines="20" w:line="360" w:lineRule="exact"/>
              <w:jc w:val="center"/>
              <w:rPr>
                <w:rFonts w:hint="eastAsia" w:ascii="楷体" w:hAnsi="楷体" w:eastAsia="楷体"/>
                <w:bCs/>
                <w:highlight w:val="none"/>
              </w:rPr>
            </w:pPr>
          </w:p>
        </w:tc>
        <w:tc>
          <w:tcPr>
            <w:tcW w:w="259" w:type="pct"/>
            <w:vMerge w:val="continue"/>
            <w:vAlign w:val="center"/>
          </w:tcPr>
          <w:p w14:paraId="4D08EC8E">
            <w:pPr>
              <w:adjustRightInd w:val="0"/>
              <w:snapToGrid w:val="0"/>
              <w:spacing w:before="48" w:beforeLines="20" w:after="48" w:afterLines="20" w:line="360" w:lineRule="exact"/>
              <w:jc w:val="center"/>
              <w:rPr>
                <w:rFonts w:hint="eastAsia" w:ascii="楷体" w:hAnsi="楷体" w:eastAsia="楷体"/>
                <w:bCs/>
                <w:highlight w:val="none"/>
              </w:rPr>
            </w:pPr>
          </w:p>
        </w:tc>
        <w:tc>
          <w:tcPr>
            <w:tcW w:w="4180" w:type="pct"/>
            <w:gridSpan w:val="4"/>
            <w:vAlign w:val="center"/>
          </w:tcPr>
          <w:p w14:paraId="5252A1F6">
            <w:pPr>
              <w:spacing w:line="360" w:lineRule="exact"/>
              <w:ind w:firstLine="420" w:firstLineChars="200"/>
              <w:rPr>
                <w:rFonts w:hint="eastAsia" w:ascii="宋体" w:hAnsi="宋体"/>
                <w:bCs/>
                <w:szCs w:val="21"/>
                <w:highlight w:val="none"/>
              </w:rPr>
            </w:pPr>
            <w:bookmarkStart w:id="128" w:name="OLE_LINK20"/>
            <w:r>
              <w:rPr>
                <w:rFonts w:hint="eastAsia" w:ascii="宋体" w:hAnsi="宋体"/>
                <w:bCs/>
                <w:szCs w:val="21"/>
                <w:highlight w:val="none"/>
              </w:rPr>
              <w:t>注：</w:t>
            </w:r>
            <w:r>
              <w:rPr>
                <w:rFonts w:ascii="宋体" w:hAnsi="宋体" w:cs="楷体"/>
                <w:bCs/>
                <w:szCs w:val="21"/>
                <w:highlight w:val="none"/>
              </w:rPr>
              <w:t xml:space="preserve">投标人的信用评价等级按照以下原则认定（如无前一条的信用评价结果，则依次应用下一条的信用评价结果）： </w:t>
            </w:r>
          </w:p>
          <w:p w14:paraId="471C4CC8">
            <w:pPr>
              <w:widowControl/>
              <w:spacing w:line="360" w:lineRule="exact"/>
              <w:ind w:firstLine="420" w:firstLineChars="200"/>
              <w:jc w:val="left"/>
              <w:rPr>
                <w:rFonts w:hint="eastAsia" w:ascii="宋体" w:hAnsi="宋体" w:cs="楷体"/>
                <w:bCs/>
                <w:szCs w:val="21"/>
                <w:highlight w:val="none"/>
              </w:rPr>
            </w:pPr>
            <w:r>
              <w:rPr>
                <w:rFonts w:hint="eastAsia" w:ascii="宋体" w:hAnsi="宋体" w:cs="楷体"/>
                <w:bCs/>
                <w:szCs w:val="21"/>
                <w:highlight w:val="none"/>
              </w:rPr>
              <w:t>（1）</w:t>
            </w:r>
            <w:r>
              <w:rPr>
                <w:rFonts w:ascii="宋体" w:hAnsi="宋体" w:cs="楷体"/>
                <w:bCs/>
                <w:szCs w:val="21"/>
                <w:highlight w:val="none"/>
              </w:rPr>
              <w:t>《吉林省公路管理局</w:t>
            </w:r>
            <w:r>
              <w:rPr>
                <w:rFonts w:ascii="宋体" w:hAnsi="宋体" w:cs="楷体"/>
                <w:bCs/>
                <w:szCs w:val="21"/>
                <w:highlight w:val="none"/>
              </w:rPr>
              <w:t>2025年度普</w:t>
            </w:r>
            <w:r>
              <w:rPr>
                <w:rFonts w:ascii="宋体" w:hAnsi="宋体" w:cs="楷体"/>
                <w:bCs/>
                <w:szCs w:val="21"/>
                <w:highlight w:val="none"/>
              </w:rPr>
              <w:t>通干线公路养护工程企业信用评价公告》中投标人的信用等级</w:t>
            </w:r>
            <w:r>
              <w:rPr>
                <w:rFonts w:hint="eastAsia" w:ascii="宋体" w:hAnsi="宋体" w:cs="楷体"/>
                <w:bCs/>
                <w:szCs w:val="21"/>
                <w:highlight w:val="none"/>
              </w:rPr>
              <w:t>。</w:t>
            </w:r>
          </w:p>
          <w:p w14:paraId="23BA7C82">
            <w:pPr>
              <w:widowControl/>
              <w:spacing w:line="360" w:lineRule="exact"/>
              <w:ind w:firstLine="420" w:firstLineChars="200"/>
              <w:jc w:val="left"/>
              <w:rPr>
                <w:rFonts w:hint="eastAsia" w:ascii="宋体" w:hAnsi="宋体" w:cs="楷体"/>
                <w:bCs/>
                <w:szCs w:val="21"/>
                <w:highlight w:val="none"/>
              </w:rPr>
            </w:pPr>
            <w:r>
              <w:rPr>
                <w:rFonts w:hint="eastAsia" w:ascii="宋体" w:hAnsi="宋体" w:cs="楷体"/>
                <w:bCs/>
                <w:szCs w:val="21"/>
                <w:highlight w:val="none"/>
              </w:rPr>
              <w:t>（2）</w:t>
            </w:r>
            <w:r>
              <w:rPr>
                <w:rFonts w:ascii="宋体" w:hAnsi="宋体" w:cs="楷体"/>
                <w:bCs/>
                <w:szCs w:val="21"/>
                <w:highlight w:val="none"/>
              </w:rPr>
              <w:t>《吉林省公路管理局</w:t>
            </w:r>
            <w:r>
              <w:rPr>
                <w:rFonts w:ascii="宋体" w:hAnsi="宋体" w:cs="楷体"/>
                <w:bCs/>
                <w:szCs w:val="21"/>
                <w:highlight w:val="none"/>
              </w:rPr>
              <w:t>202</w:t>
            </w:r>
            <w:r>
              <w:rPr>
                <w:rFonts w:hint="eastAsia" w:ascii="宋体" w:hAnsi="宋体" w:cs="楷体"/>
                <w:bCs/>
                <w:szCs w:val="21"/>
                <w:highlight w:val="none"/>
              </w:rPr>
              <w:t>4</w:t>
            </w:r>
            <w:r>
              <w:rPr>
                <w:rFonts w:ascii="宋体" w:hAnsi="宋体" w:cs="楷体"/>
                <w:bCs/>
                <w:szCs w:val="21"/>
                <w:highlight w:val="none"/>
              </w:rPr>
              <w:t>年度普</w:t>
            </w:r>
            <w:r>
              <w:rPr>
                <w:rFonts w:ascii="宋体" w:hAnsi="宋体" w:cs="楷体"/>
                <w:bCs/>
                <w:szCs w:val="21"/>
                <w:highlight w:val="none"/>
              </w:rPr>
              <w:t>通干线公路养护工程企业信用评价公告》及《吉林省公路管理局2024年度普通干线公路养护工程企业信用评</w:t>
            </w:r>
            <w:r>
              <w:rPr>
                <w:rFonts w:ascii="宋体" w:hAnsi="宋体" w:cs="楷体"/>
                <w:bCs/>
                <w:szCs w:val="21"/>
                <w:highlight w:val="none"/>
              </w:rPr>
              <w:t>价调整结果</w:t>
            </w:r>
            <w:r>
              <w:rPr>
                <w:rFonts w:ascii="宋体" w:hAnsi="宋体" w:cs="楷体"/>
                <w:bCs/>
                <w:szCs w:val="21"/>
                <w:highlight w:val="none"/>
              </w:rPr>
              <w:t>公告》中投标人的信用等级</w:t>
            </w:r>
            <w:r>
              <w:rPr>
                <w:rFonts w:hint="eastAsia" w:ascii="宋体" w:hAnsi="宋体" w:cs="楷体"/>
                <w:bCs/>
                <w:szCs w:val="21"/>
                <w:highlight w:val="none"/>
              </w:rPr>
              <w:t>。</w:t>
            </w:r>
          </w:p>
          <w:p w14:paraId="444757A0">
            <w:pPr>
              <w:widowControl/>
              <w:spacing w:line="360" w:lineRule="exact"/>
              <w:ind w:firstLine="420" w:firstLineChars="200"/>
              <w:jc w:val="left"/>
              <w:rPr>
                <w:rFonts w:hint="eastAsia" w:ascii="宋体" w:hAnsi="宋体" w:cs="楷体"/>
                <w:bCs/>
                <w:szCs w:val="21"/>
                <w:highlight w:val="none"/>
              </w:rPr>
            </w:pPr>
            <w:r>
              <w:rPr>
                <w:rFonts w:hint="eastAsia" w:ascii="宋体" w:hAnsi="宋体" w:cs="楷体"/>
                <w:bCs/>
                <w:szCs w:val="21"/>
                <w:highlight w:val="none"/>
              </w:rPr>
              <w:t>（3）</w:t>
            </w:r>
            <w:r>
              <w:rPr>
                <w:rFonts w:ascii="宋体" w:hAnsi="宋体" w:cs="楷体"/>
                <w:bCs/>
                <w:szCs w:val="21"/>
                <w:highlight w:val="none"/>
              </w:rPr>
              <w:t>“全国公路建设市场监督管理系统/全国公路从业单位信用评价结果”中，投标人以施工企业获得的</w:t>
            </w:r>
            <w:r>
              <w:rPr>
                <w:rFonts w:ascii="宋体" w:hAnsi="宋体" w:cs="楷体"/>
                <w:bCs/>
                <w:szCs w:val="21"/>
                <w:highlight w:val="none"/>
              </w:rPr>
              <w:t>202</w:t>
            </w:r>
            <w:r>
              <w:rPr>
                <w:rFonts w:hint="eastAsia" w:ascii="宋体" w:hAnsi="宋体" w:cs="楷体"/>
                <w:bCs/>
                <w:szCs w:val="21"/>
                <w:highlight w:val="none"/>
              </w:rPr>
              <w:t>4</w:t>
            </w:r>
            <w:r>
              <w:rPr>
                <w:rFonts w:ascii="宋体" w:hAnsi="宋体" w:cs="楷体"/>
                <w:bCs/>
                <w:szCs w:val="21"/>
                <w:highlight w:val="none"/>
              </w:rPr>
              <w:t>年度</w:t>
            </w:r>
            <w:r>
              <w:rPr>
                <w:rFonts w:ascii="宋体" w:hAnsi="宋体" w:cs="楷体"/>
                <w:bCs/>
                <w:szCs w:val="21"/>
                <w:highlight w:val="none"/>
              </w:rPr>
              <w:t>信用等级。</w:t>
            </w:r>
          </w:p>
          <w:p w14:paraId="7FF96B24">
            <w:pPr>
              <w:widowControl/>
              <w:spacing w:line="360" w:lineRule="exact"/>
              <w:ind w:firstLine="420" w:firstLineChars="200"/>
              <w:jc w:val="left"/>
              <w:rPr>
                <w:rFonts w:hint="eastAsia" w:ascii="宋体" w:hAnsi="宋体" w:cs="楷体"/>
                <w:bCs/>
                <w:szCs w:val="21"/>
                <w:highlight w:val="none"/>
              </w:rPr>
            </w:pPr>
            <w:r>
              <w:rPr>
                <w:rFonts w:hint="eastAsia" w:ascii="宋体" w:hAnsi="宋体" w:cs="楷体"/>
                <w:bCs/>
                <w:szCs w:val="21"/>
                <w:highlight w:val="none"/>
              </w:rPr>
              <w:t>（4）</w:t>
            </w:r>
            <w:r>
              <w:rPr>
                <w:rFonts w:ascii="宋体" w:hAnsi="宋体" w:cs="楷体"/>
                <w:bCs/>
                <w:szCs w:val="21"/>
                <w:highlight w:val="none"/>
              </w:rPr>
              <w:t>无以上综合评价结果的，根据“全国公路建设市场监督管理系统/不良行为记录”查询结果，若无不良信用记录，按A级对待；若有不良信用记录，视其严重程度按B级及以下对待。</w:t>
            </w:r>
          </w:p>
          <w:p w14:paraId="2E2AAA52">
            <w:pPr>
              <w:adjustRightInd w:val="0"/>
              <w:snapToGrid w:val="0"/>
              <w:spacing w:line="360" w:lineRule="exact"/>
              <w:ind w:firstLine="420"/>
              <w:jc w:val="left"/>
              <w:rPr>
                <w:rFonts w:hint="eastAsia" w:ascii="楷体" w:hAnsi="楷体" w:eastAsia="楷体"/>
                <w:bCs/>
                <w:szCs w:val="21"/>
                <w:highlight w:val="none"/>
              </w:rPr>
            </w:pPr>
            <w:r>
              <w:rPr>
                <w:rFonts w:ascii="黑体" w:hAnsi="黑体" w:eastAsia="黑体" w:cs="楷体"/>
                <w:bCs/>
                <w:szCs w:val="21"/>
                <w:highlight w:val="none"/>
              </w:rPr>
              <w:t>联合体参与投标的，</w:t>
            </w:r>
            <w:r>
              <w:rPr>
                <w:rFonts w:hint="eastAsia" w:ascii="黑体" w:hAnsi="黑体" w:eastAsia="黑体" w:cstheme="minorEastAsia"/>
                <w:bCs/>
                <w:highlight w:val="none"/>
              </w:rPr>
              <w:t>其信用等级按照联合体中最低等级方认定</w:t>
            </w:r>
            <w:bookmarkEnd w:id="128"/>
            <w:r>
              <w:rPr>
                <w:rFonts w:hint="eastAsia" w:ascii="黑体" w:hAnsi="黑体" w:eastAsia="黑体" w:cs="楷体"/>
                <w:bCs/>
                <w:szCs w:val="21"/>
                <w:highlight w:val="none"/>
              </w:rPr>
              <w:t>。</w:t>
            </w:r>
          </w:p>
        </w:tc>
      </w:tr>
      <w:tr w14:paraId="2F975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307" w:hRule="atLeast"/>
        </w:trPr>
        <w:tc>
          <w:tcPr>
            <w:tcW w:w="5000" w:type="pct"/>
            <w:gridSpan w:val="7"/>
            <w:vAlign w:val="center"/>
          </w:tcPr>
          <w:p w14:paraId="43BF200E">
            <w:pPr>
              <w:adjustRightInd w:val="0"/>
              <w:snapToGrid w:val="0"/>
              <w:spacing w:before="48" w:beforeLines="20" w:after="48" w:afterLines="20" w:line="360" w:lineRule="exact"/>
              <w:jc w:val="left"/>
              <w:rPr>
                <w:rFonts w:hint="eastAsia" w:ascii="楷体" w:hAnsi="楷体" w:eastAsia="楷体"/>
                <w:bCs/>
                <w:highlight w:val="none"/>
              </w:rPr>
            </w:pPr>
            <w:r>
              <w:rPr>
                <w:rFonts w:hint="eastAsia" w:ascii="楷体" w:hAnsi="楷体" w:eastAsia="楷体"/>
                <w:bCs/>
                <w:highlight w:val="none"/>
              </w:rPr>
              <w:t>需要补充的其他内容：</w:t>
            </w:r>
          </w:p>
          <w:p w14:paraId="50A7CB80">
            <w:pPr>
              <w:adjustRightInd w:val="0"/>
              <w:snapToGrid w:val="0"/>
              <w:spacing w:line="360" w:lineRule="exact"/>
              <w:ind w:firstLine="210" w:firstLineChars="100"/>
              <w:rPr>
                <w:rFonts w:hint="eastAsia" w:ascii="宋体" w:hAnsi="宋体"/>
                <w:bCs/>
                <w:szCs w:val="21"/>
                <w:highlight w:val="none"/>
              </w:rPr>
            </w:pPr>
            <w:r>
              <w:rPr>
                <w:rFonts w:hint="eastAsia" w:ascii="宋体" w:hAnsi="宋体"/>
                <w:bCs/>
                <w:szCs w:val="21"/>
                <w:highlight w:val="none"/>
              </w:rPr>
              <w:t>一、</w:t>
            </w:r>
            <w:r>
              <w:rPr>
                <w:rFonts w:ascii="宋体" w:hAnsi="宋体"/>
                <w:bCs/>
                <w:szCs w:val="21"/>
                <w:highlight w:val="none"/>
              </w:rPr>
              <w:t>如同一标段出现多名投标人的</w:t>
            </w:r>
            <w:r>
              <w:rPr>
                <w:rFonts w:hint="eastAsia" w:ascii="宋体" w:hAnsi="宋体"/>
                <w:bCs/>
                <w:szCs w:val="21"/>
                <w:highlight w:val="none"/>
              </w:rPr>
              <w:t>商务和技术得分</w:t>
            </w:r>
            <w:r>
              <w:rPr>
                <w:rFonts w:ascii="宋体" w:hAnsi="宋体"/>
                <w:bCs/>
                <w:szCs w:val="21"/>
                <w:highlight w:val="none"/>
              </w:rPr>
              <w:t>相等时，则按照以下</w:t>
            </w:r>
            <w:r>
              <w:rPr>
                <w:rFonts w:hint="eastAsia" w:ascii="宋体" w:hAnsi="宋体"/>
                <w:bCs/>
                <w:szCs w:val="21"/>
                <w:highlight w:val="none"/>
              </w:rPr>
              <w:t>优先顺序进行</w:t>
            </w:r>
            <w:r>
              <w:rPr>
                <w:rFonts w:ascii="宋体" w:hAnsi="宋体"/>
                <w:bCs/>
                <w:szCs w:val="21"/>
                <w:highlight w:val="none"/>
              </w:rPr>
              <w:t>排序：</w:t>
            </w:r>
          </w:p>
          <w:p w14:paraId="5036BF65">
            <w:pPr>
              <w:adjustRightInd w:val="0"/>
              <w:snapToGrid w:val="0"/>
              <w:spacing w:line="360" w:lineRule="exact"/>
              <w:ind w:firstLine="210" w:firstLineChars="100"/>
              <w:rPr>
                <w:rFonts w:hint="eastAsia" w:ascii="宋体" w:hAnsi="宋体"/>
                <w:bCs/>
                <w:szCs w:val="21"/>
                <w:highlight w:val="none"/>
              </w:rPr>
            </w:pPr>
            <w:r>
              <w:rPr>
                <w:rFonts w:hint="eastAsia" w:ascii="宋体" w:hAnsi="宋体"/>
                <w:bCs/>
                <w:szCs w:val="21"/>
                <w:highlight w:val="none"/>
              </w:rPr>
              <w:t>a</w:t>
            </w:r>
            <w:r>
              <w:rPr>
                <w:rFonts w:ascii="宋体" w:hAnsi="宋体"/>
                <w:bCs/>
                <w:szCs w:val="21"/>
                <w:highlight w:val="none"/>
              </w:rPr>
              <w:t>.</w:t>
            </w:r>
            <w:r>
              <w:rPr>
                <w:rFonts w:hint="eastAsia" w:ascii="宋体" w:hAnsi="宋体"/>
                <w:bCs/>
                <w:szCs w:val="21"/>
                <w:highlight w:val="none"/>
              </w:rPr>
              <w:t>履约信誉得分较高的投标人；</w:t>
            </w:r>
          </w:p>
          <w:p w14:paraId="5F5973FC">
            <w:pPr>
              <w:adjustRightInd w:val="0"/>
              <w:snapToGrid w:val="0"/>
              <w:spacing w:line="360" w:lineRule="exact"/>
              <w:ind w:firstLine="210" w:firstLineChars="100"/>
              <w:rPr>
                <w:rFonts w:hint="eastAsia" w:ascii="宋体" w:hAnsi="宋体"/>
                <w:bCs/>
                <w:szCs w:val="21"/>
                <w:highlight w:val="none"/>
              </w:rPr>
            </w:pPr>
            <w:r>
              <w:rPr>
                <w:rFonts w:hint="eastAsia" w:ascii="宋体" w:hAnsi="宋体"/>
                <w:bCs/>
                <w:szCs w:val="21"/>
                <w:highlight w:val="none"/>
              </w:rPr>
              <w:t>b</w:t>
            </w:r>
            <w:r>
              <w:rPr>
                <w:rFonts w:ascii="宋体" w:hAnsi="宋体"/>
                <w:bCs/>
                <w:szCs w:val="21"/>
                <w:highlight w:val="none"/>
              </w:rPr>
              <w:t>.施工组织设计得分较高</w:t>
            </w:r>
            <w:r>
              <w:rPr>
                <w:rFonts w:hint="eastAsia" w:ascii="宋体" w:hAnsi="宋体"/>
                <w:bCs/>
                <w:szCs w:val="21"/>
                <w:highlight w:val="none"/>
              </w:rPr>
              <w:t>的投标人</w:t>
            </w:r>
            <w:r>
              <w:rPr>
                <w:rFonts w:ascii="宋体" w:hAnsi="宋体"/>
                <w:bCs/>
                <w:szCs w:val="21"/>
                <w:highlight w:val="none"/>
              </w:rPr>
              <w:t>；</w:t>
            </w:r>
          </w:p>
          <w:p w14:paraId="05C372C7">
            <w:pPr>
              <w:adjustRightInd w:val="0"/>
              <w:snapToGrid w:val="0"/>
              <w:spacing w:line="360" w:lineRule="exact"/>
              <w:ind w:firstLine="210" w:firstLineChars="100"/>
              <w:rPr>
                <w:rFonts w:hint="eastAsia" w:ascii="宋体" w:hAnsi="宋体"/>
                <w:bCs/>
                <w:szCs w:val="21"/>
                <w:highlight w:val="none"/>
              </w:rPr>
            </w:pPr>
            <w:r>
              <w:rPr>
                <w:rFonts w:hint="eastAsia" w:ascii="宋体" w:hAnsi="宋体"/>
                <w:bCs/>
                <w:szCs w:val="21"/>
                <w:highlight w:val="none"/>
              </w:rPr>
              <w:t>c</w:t>
            </w:r>
            <w:r>
              <w:rPr>
                <w:rFonts w:ascii="宋体" w:hAnsi="宋体"/>
                <w:bCs/>
                <w:szCs w:val="21"/>
                <w:highlight w:val="none"/>
              </w:rPr>
              <w:t>.</w:t>
            </w:r>
            <w:r>
              <w:rPr>
                <w:rFonts w:hint="eastAsia" w:ascii="宋体" w:hAnsi="宋体"/>
                <w:bCs/>
                <w:szCs w:val="21"/>
                <w:highlight w:val="none"/>
              </w:rPr>
              <w:t>主要人员</w:t>
            </w:r>
            <w:r>
              <w:rPr>
                <w:rFonts w:ascii="宋体" w:hAnsi="宋体"/>
                <w:bCs/>
                <w:szCs w:val="21"/>
                <w:highlight w:val="none"/>
              </w:rPr>
              <w:t>得分较高</w:t>
            </w:r>
            <w:r>
              <w:rPr>
                <w:rFonts w:hint="eastAsia" w:ascii="宋体" w:hAnsi="宋体"/>
                <w:bCs/>
                <w:szCs w:val="21"/>
                <w:highlight w:val="none"/>
              </w:rPr>
              <w:t>的投标人</w:t>
            </w:r>
            <w:r>
              <w:rPr>
                <w:rFonts w:ascii="宋体" w:hAnsi="宋体"/>
                <w:bCs/>
                <w:szCs w:val="21"/>
                <w:highlight w:val="none"/>
              </w:rPr>
              <w:t>。</w:t>
            </w:r>
          </w:p>
          <w:p w14:paraId="3616E2CF">
            <w:pPr>
              <w:adjustRightInd w:val="0"/>
              <w:snapToGrid w:val="0"/>
              <w:spacing w:before="48" w:beforeLines="20" w:after="48" w:afterLines="20" w:line="360" w:lineRule="exact"/>
              <w:jc w:val="left"/>
              <w:rPr>
                <w:rFonts w:hint="eastAsia" w:ascii="宋体" w:hAnsi="宋体"/>
                <w:bCs/>
                <w:szCs w:val="21"/>
                <w:highlight w:val="none"/>
              </w:rPr>
            </w:pPr>
            <w:r>
              <w:rPr>
                <w:rFonts w:ascii="宋体" w:hAnsi="宋体"/>
                <w:bCs/>
                <w:szCs w:val="21"/>
                <w:highlight w:val="none"/>
              </w:rPr>
              <w:t>若以上各项评分因素得分都相等，则通过评委会投票表决，推荐票数多的投标人</w:t>
            </w:r>
            <w:r>
              <w:rPr>
                <w:rFonts w:hint="eastAsia" w:ascii="宋体" w:hAnsi="宋体"/>
                <w:bCs/>
                <w:szCs w:val="21"/>
                <w:highlight w:val="none"/>
              </w:rPr>
              <w:t>商务和技术得分</w:t>
            </w:r>
            <w:r>
              <w:rPr>
                <w:rFonts w:ascii="宋体" w:hAnsi="宋体"/>
                <w:bCs/>
                <w:szCs w:val="21"/>
                <w:highlight w:val="none"/>
              </w:rPr>
              <w:t>排序在先</w:t>
            </w:r>
            <w:r>
              <w:rPr>
                <w:rFonts w:hint="eastAsia" w:ascii="宋体" w:hAnsi="宋体"/>
                <w:bCs/>
                <w:szCs w:val="21"/>
                <w:highlight w:val="none"/>
              </w:rPr>
              <w:t>。</w:t>
            </w:r>
          </w:p>
          <w:p w14:paraId="2707E09D">
            <w:pPr>
              <w:adjustRightInd w:val="0"/>
              <w:snapToGrid w:val="0"/>
              <w:spacing w:before="120" w:beforeLines="50" w:after="48" w:afterLines="20" w:line="360" w:lineRule="exact"/>
              <w:ind w:firstLine="210" w:firstLineChars="100"/>
              <w:jc w:val="left"/>
              <w:rPr>
                <w:rFonts w:hint="eastAsia" w:ascii="宋体" w:hAnsi="宋体"/>
                <w:bCs/>
                <w:szCs w:val="21"/>
                <w:highlight w:val="none"/>
              </w:rPr>
            </w:pPr>
            <w:r>
              <w:rPr>
                <w:rFonts w:hint="eastAsia" w:ascii="宋体" w:hAnsi="宋体"/>
                <w:bCs/>
                <w:szCs w:val="21"/>
                <w:highlight w:val="none"/>
              </w:rPr>
              <w:t>二、各评分因素（履约信誉评分项除外）得分一般不得低于其权重分值的60%，且各评分因素得分应以评标委员会各成员的打分平均值确定，评标委员会成员总数为七人以上时，该平均值以去掉一个最高分和一个最低分后计算。评标委员会成员对某一项评分因素的评分低于权重分值60%的，应在评标报告中作出说明。所有评分分值均保留至小数点后两位，小数点后第三位四舍五入。</w:t>
            </w:r>
          </w:p>
          <w:p w14:paraId="266AF5D2">
            <w:pPr>
              <w:widowControl/>
              <w:shd w:val="clear" w:color="auto" w:fill="FFFFFF" w:themeFill="background1"/>
              <w:adjustRightInd w:val="0"/>
              <w:spacing w:before="120" w:beforeLines="50" w:line="360" w:lineRule="exact"/>
              <w:ind w:firstLine="210" w:firstLineChars="100"/>
              <w:jc w:val="left"/>
              <w:rPr>
                <w:rFonts w:hint="eastAsia" w:ascii="黑体" w:hAnsi="黑体" w:eastAsia="黑体"/>
                <w:bCs/>
                <w:szCs w:val="21"/>
                <w:highlight w:val="none"/>
              </w:rPr>
            </w:pPr>
            <w:r>
              <w:rPr>
                <w:rFonts w:hint="eastAsia" w:ascii="黑体" w:hAnsi="黑体" w:eastAsia="黑体"/>
                <w:bCs/>
                <w:szCs w:val="21"/>
                <w:highlight w:val="none"/>
              </w:rPr>
              <w:t>三、</w:t>
            </w:r>
            <w:r>
              <w:rPr>
                <w:rFonts w:ascii="黑体" w:hAnsi="黑体" w:eastAsia="黑体"/>
                <w:bCs/>
                <w:szCs w:val="21"/>
                <w:highlight w:val="none"/>
              </w:rPr>
              <w:t>技术文件（施工组织设计）采用“暗标”评审，如果某投标人的施工组织设计没有按照招标文件规定的格式、内容编制，且经评标委员会认定会暴露投标人身份的，评标委员会应一致将其施工组织设计部分评为0分，随后在详细评审汇总步骤否决其投标，并在评标报告中作出说明。</w:t>
            </w:r>
          </w:p>
          <w:p w14:paraId="3248D81B">
            <w:pPr>
              <w:widowControl/>
              <w:shd w:val="clear" w:color="auto" w:fill="FFFFFF" w:themeFill="background1"/>
              <w:adjustRightInd w:val="0"/>
              <w:spacing w:before="120" w:beforeLines="50" w:line="360" w:lineRule="exact"/>
              <w:ind w:firstLine="210" w:firstLineChars="100"/>
              <w:jc w:val="left"/>
              <w:rPr>
                <w:rFonts w:hint="eastAsia" w:ascii="黑体" w:hAnsi="黑体" w:eastAsia="黑体"/>
                <w:bCs/>
                <w:szCs w:val="21"/>
                <w:highlight w:val="none"/>
              </w:rPr>
            </w:pPr>
            <w:r>
              <w:rPr>
                <w:rFonts w:hint="eastAsia" w:ascii="黑体" w:hAnsi="黑体" w:eastAsia="黑体"/>
                <w:bCs/>
                <w:szCs w:val="21"/>
                <w:highlight w:val="none"/>
              </w:rPr>
              <w:t>四、企业业绩及项目经理（项目总工）个人业绩中的修复</w:t>
            </w:r>
            <w:r>
              <w:rPr>
                <w:rFonts w:hint="eastAsia" w:ascii="黑体" w:hAnsi="黑体" w:eastAsia="黑体"/>
                <w:bCs/>
                <w:highlight w:val="none"/>
              </w:rPr>
              <w:t>养护工程涵盖大中修养护工程、路面改造工程。</w:t>
            </w:r>
          </w:p>
        </w:tc>
      </w:tr>
      <w:bookmarkEnd w:id="121"/>
    </w:tbl>
    <w:p w14:paraId="4564C9FC">
      <w:pPr>
        <w:adjustRightInd w:val="0"/>
        <w:snapToGrid w:val="0"/>
        <w:spacing w:line="20" w:lineRule="exact"/>
        <w:rPr>
          <w:rFonts w:hint="eastAsia" w:ascii="楷体" w:hAnsi="楷体" w:eastAsia="楷体"/>
          <w:bCs/>
          <w:sz w:val="24"/>
          <w:szCs w:val="21"/>
          <w:highlight w:val="none"/>
        </w:rPr>
      </w:pPr>
    </w:p>
    <w:p w14:paraId="26BD5B82">
      <w:pPr>
        <w:adjustRightInd w:val="0"/>
        <w:snapToGrid w:val="0"/>
        <w:spacing w:line="20" w:lineRule="exact"/>
        <w:rPr>
          <w:rFonts w:hint="eastAsia" w:ascii="楷体" w:hAnsi="楷体" w:eastAsia="楷体"/>
          <w:bCs/>
          <w:sz w:val="24"/>
          <w:szCs w:val="21"/>
          <w:highlight w:val="none"/>
        </w:rPr>
      </w:pPr>
    </w:p>
    <w:p w14:paraId="369997B5">
      <w:pPr>
        <w:adjustRightInd w:val="0"/>
        <w:snapToGrid w:val="0"/>
        <w:spacing w:line="20" w:lineRule="exact"/>
        <w:rPr>
          <w:rFonts w:hint="eastAsia" w:ascii="楷体" w:hAnsi="楷体" w:eastAsia="楷体"/>
          <w:bCs/>
          <w:sz w:val="24"/>
          <w:szCs w:val="21"/>
          <w:highlight w:val="none"/>
        </w:rPr>
      </w:pPr>
    </w:p>
    <w:p w14:paraId="112D9B2A">
      <w:pPr>
        <w:adjustRightInd w:val="0"/>
        <w:snapToGrid w:val="0"/>
        <w:spacing w:line="20" w:lineRule="exact"/>
        <w:rPr>
          <w:rFonts w:hint="eastAsia" w:ascii="楷体" w:hAnsi="楷体" w:eastAsia="楷体"/>
          <w:bCs/>
          <w:sz w:val="24"/>
          <w:szCs w:val="21"/>
          <w:highlight w:val="none"/>
        </w:rPr>
      </w:pPr>
    </w:p>
    <w:p w14:paraId="3FA5D9A2">
      <w:pPr>
        <w:adjustRightInd w:val="0"/>
        <w:snapToGrid w:val="0"/>
        <w:spacing w:line="20" w:lineRule="exact"/>
        <w:rPr>
          <w:rFonts w:hint="eastAsia" w:ascii="楷体" w:hAnsi="楷体" w:eastAsia="楷体"/>
          <w:bCs/>
          <w:sz w:val="24"/>
          <w:szCs w:val="21"/>
          <w:highlight w:val="none"/>
        </w:rPr>
      </w:pPr>
    </w:p>
    <w:p w14:paraId="5ED74DEB">
      <w:pPr>
        <w:adjustRightInd w:val="0"/>
        <w:snapToGrid w:val="0"/>
        <w:spacing w:line="20" w:lineRule="exact"/>
        <w:rPr>
          <w:rFonts w:hint="eastAsia" w:ascii="楷体" w:hAnsi="楷体" w:eastAsia="楷体"/>
          <w:bCs/>
          <w:sz w:val="24"/>
          <w:szCs w:val="21"/>
          <w:highlight w:val="none"/>
        </w:rPr>
      </w:pPr>
    </w:p>
    <w:p w14:paraId="5AECB991">
      <w:pPr>
        <w:adjustRightInd w:val="0"/>
        <w:snapToGrid w:val="0"/>
        <w:spacing w:line="20" w:lineRule="exact"/>
        <w:rPr>
          <w:rFonts w:hint="eastAsia" w:ascii="楷体" w:hAnsi="楷体" w:eastAsia="楷体"/>
          <w:bCs/>
          <w:sz w:val="24"/>
          <w:szCs w:val="21"/>
          <w:highlight w:val="none"/>
        </w:rPr>
      </w:pPr>
    </w:p>
    <w:p w14:paraId="224E696B">
      <w:pPr>
        <w:adjustRightInd w:val="0"/>
        <w:snapToGrid w:val="0"/>
        <w:spacing w:line="20" w:lineRule="exact"/>
        <w:rPr>
          <w:rFonts w:hint="eastAsia" w:ascii="楷体" w:hAnsi="楷体" w:eastAsia="楷体"/>
          <w:bCs/>
          <w:sz w:val="24"/>
          <w:szCs w:val="21"/>
          <w:highlight w:val="none"/>
        </w:rPr>
      </w:pPr>
    </w:p>
    <w:p w14:paraId="258ADFD1">
      <w:pPr>
        <w:adjustRightInd w:val="0"/>
        <w:snapToGrid w:val="0"/>
        <w:spacing w:line="20" w:lineRule="exact"/>
        <w:rPr>
          <w:rFonts w:hint="eastAsia" w:ascii="楷体" w:hAnsi="楷体" w:eastAsia="楷体"/>
          <w:bCs/>
          <w:sz w:val="24"/>
          <w:szCs w:val="21"/>
          <w:highlight w:val="none"/>
        </w:rPr>
      </w:pPr>
    </w:p>
    <w:p w14:paraId="5CF6E917">
      <w:pPr>
        <w:adjustRightInd w:val="0"/>
        <w:snapToGrid w:val="0"/>
        <w:spacing w:line="20" w:lineRule="exact"/>
        <w:rPr>
          <w:rFonts w:hint="eastAsia" w:ascii="楷体" w:hAnsi="楷体" w:eastAsia="楷体"/>
          <w:bCs/>
          <w:sz w:val="24"/>
          <w:szCs w:val="21"/>
          <w:highlight w:val="none"/>
        </w:rPr>
      </w:pPr>
    </w:p>
    <w:p w14:paraId="69F5195B">
      <w:pPr>
        <w:adjustRightInd w:val="0"/>
        <w:snapToGrid w:val="0"/>
        <w:spacing w:line="20" w:lineRule="exact"/>
        <w:rPr>
          <w:rFonts w:hint="eastAsia" w:ascii="楷体" w:hAnsi="楷体" w:eastAsia="楷体"/>
          <w:bCs/>
          <w:sz w:val="24"/>
          <w:szCs w:val="21"/>
          <w:highlight w:val="none"/>
        </w:rPr>
      </w:pPr>
    </w:p>
    <w:p w14:paraId="60DC04B5">
      <w:pPr>
        <w:adjustRightInd w:val="0"/>
        <w:snapToGrid w:val="0"/>
        <w:spacing w:line="20" w:lineRule="exact"/>
        <w:rPr>
          <w:rFonts w:hint="eastAsia" w:ascii="楷体" w:hAnsi="楷体" w:eastAsia="楷体"/>
          <w:bCs/>
          <w:sz w:val="24"/>
          <w:szCs w:val="21"/>
          <w:highlight w:val="none"/>
        </w:rPr>
      </w:pPr>
    </w:p>
    <w:p w14:paraId="448ACB53">
      <w:pPr>
        <w:adjustRightInd w:val="0"/>
        <w:snapToGrid w:val="0"/>
        <w:spacing w:line="20" w:lineRule="exact"/>
        <w:rPr>
          <w:rFonts w:hint="eastAsia" w:ascii="楷体" w:hAnsi="楷体" w:eastAsia="楷体"/>
          <w:bCs/>
          <w:sz w:val="24"/>
          <w:szCs w:val="21"/>
          <w:highlight w:val="none"/>
        </w:rPr>
      </w:pPr>
    </w:p>
    <w:p w14:paraId="3D84D33F">
      <w:pPr>
        <w:pStyle w:val="406"/>
        <w:keepNext/>
        <w:keepLines/>
        <w:shd w:val="clear" w:color="auto" w:fill="auto"/>
        <w:spacing w:before="120" w:beforeLines="50" w:after="120" w:afterLines="50" w:line="400" w:lineRule="exact"/>
        <w:jc w:val="left"/>
        <w:rPr>
          <w:rFonts w:hint="eastAsia" w:ascii="黑体" w:hAnsi="黑体" w:eastAsia="黑体"/>
          <w:color w:val="auto"/>
          <w:sz w:val="24"/>
          <w:szCs w:val="24"/>
          <w:highlight w:val="none"/>
        </w:rPr>
      </w:pPr>
      <w:r>
        <w:rPr>
          <w:rFonts w:hint="eastAsia" w:ascii="黑体" w:hAnsi="黑体" w:eastAsia="黑体"/>
          <w:color w:val="auto"/>
          <w:sz w:val="24"/>
          <w:szCs w:val="24"/>
          <w:highlight w:val="none"/>
          <w:lang w:val="en-US" w:eastAsia="zh-CN"/>
        </w:rPr>
        <w:t>11</w:t>
      </w:r>
      <w:r>
        <w:rPr>
          <w:rFonts w:hint="eastAsia" w:ascii="黑体" w:hAnsi="黑体" w:eastAsia="黑体"/>
          <w:color w:val="auto"/>
          <w:sz w:val="24"/>
          <w:szCs w:val="24"/>
          <w:highlight w:val="none"/>
        </w:rPr>
        <w:t>.公开时间</w:t>
      </w:r>
    </w:p>
    <w:p w14:paraId="639D896F">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招标文件关键内容信息公开时间至</w:t>
      </w:r>
      <w:r>
        <w:rPr>
          <w:rFonts w:hint="eastAsia" w:ascii="宋体" w:hAnsi="宋体" w:eastAsia="宋体" w:cs="宋体"/>
          <w:color w:val="auto"/>
          <w:szCs w:val="21"/>
          <w:highlight w:val="none"/>
          <w:lang w:val="en-US" w:eastAsia="zh-CN"/>
        </w:rPr>
        <w:t>投标截止前10天</w:t>
      </w:r>
      <w:r>
        <w:rPr>
          <w:rFonts w:hint="eastAsia" w:ascii="宋体" w:hAnsi="宋体" w:eastAsia="宋体" w:cs="宋体"/>
          <w:color w:val="auto"/>
          <w:szCs w:val="21"/>
          <w:highlight w:val="none"/>
        </w:rPr>
        <w:t>。</w:t>
      </w:r>
    </w:p>
    <w:p w14:paraId="0564C1DD">
      <w:pPr>
        <w:adjustRightInd w:val="0"/>
        <w:snapToGrid w:val="0"/>
        <w:spacing w:before="120" w:beforeLines="50" w:after="120" w:afterLines="50" w:line="380" w:lineRule="exact"/>
        <w:rPr>
          <w:rFonts w:hint="eastAsia" w:ascii="黑体" w:hAnsi="黑体" w:eastAsia="黑体"/>
          <w:bCs/>
          <w:sz w:val="24"/>
          <w:szCs w:val="24"/>
          <w:highlight w:val="none"/>
        </w:rPr>
      </w:pPr>
      <w:r>
        <w:rPr>
          <w:rFonts w:hint="eastAsia" w:ascii="黑体" w:hAnsi="黑体" w:eastAsia="黑体"/>
          <w:bCs/>
          <w:sz w:val="24"/>
          <w:szCs w:val="24"/>
          <w:highlight w:val="none"/>
          <w:lang w:val="en-US" w:eastAsia="zh-CN"/>
        </w:rPr>
        <w:t>12</w:t>
      </w:r>
      <w:r>
        <w:rPr>
          <w:rFonts w:hint="eastAsia" w:ascii="黑体" w:hAnsi="黑体" w:eastAsia="黑体"/>
          <w:bCs/>
          <w:sz w:val="24"/>
          <w:szCs w:val="24"/>
          <w:highlight w:val="none"/>
        </w:rPr>
        <w:t>．联系方式</w:t>
      </w:r>
    </w:p>
    <w:p w14:paraId="3D84F76C">
      <w:pPr>
        <w:adjustRightInd w:val="0"/>
        <w:snapToGrid w:val="0"/>
        <w:spacing w:line="380" w:lineRule="exact"/>
        <w:ind w:firstLine="420" w:firstLineChars="200"/>
        <w:rPr>
          <w:rFonts w:hint="eastAsia" w:ascii="黑体" w:hAnsi="黑体" w:eastAsia="黑体"/>
          <w:bCs/>
          <w:szCs w:val="21"/>
          <w:highlight w:val="none"/>
        </w:rPr>
      </w:pPr>
      <w:r>
        <w:rPr>
          <w:rFonts w:ascii="黑体" w:hAnsi="黑体" w:eastAsia="黑体"/>
          <w:bCs/>
          <w:szCs w:val="21"/>
          <w:highlight w:val="none"/>
        </w:rPr>
        <w:t>招标人：</w:t>
      </w:r>
      <w:r>
        <w:rPr>
          <w:rFonts w:hint="eastAsia" w:ascii="黑体" w:hAnsi="黑体" w:eastAsia="黑体"/>
          <w:bCs/>
          <w:szCs w:val="21"/>
          <w:highlight w:val="none"/>
        </w:rPr>
        <w:t>延边朝鲜族自治州公路管理处（延边州公路养护工程项目管理办公室）</w:t>
      </w:r>
    </w:p>
    <w:p w14:paraId="45525D21">
      <w:pPr>
        <w:adjustRightInd w:val="0"/>
        <w:snapToGrid w:val="0"/>
        <w:spacing w:line="380" w:lineRule="exact"/>
        <w:ind w:firstLine="420" w:firstLineChars="200"/>
        <w:rPr>
          <w:rFonts w:hint="eastAsia" w:ascii="宋体" w:hAnsi="宋体"/>
          <w:bCs/>
          <w:color w:val="000000"/>
          <w:szCs w:val="21"/>
          <w:highlight w:val="none"/>
        </w:rPr>
      </w:pPr>
      <w:r>
        <w:rPr>
          <w:rFonts w:hint="eastAsia" w:ascii="宋体" w:hAnsi="宋体"/>
          <w:bCs/>
          <w:szCs w:val="21"/>
          <w:highlight w:val="none"/>
        </w:rPr>
        <w:t xml:space="preserve">地  址: </w:t>
      </w:r>
      <w:bookmarkStart w:id="129" w:name="OLE_LINK45"/>
      <w:r>
        <w:rPr>
          <w:rFonts w:hint="eastAsia" w:ascii="宋体" w:hAnsi="宋体"/>
          <w:bCs/>
          <w:color w:val="000000"/>
          <w:szCs w:val="21"/>
          <w:highlight w:val="none"/>
        </w:rPr>
        <w:t>延吉市公园路5568号</w:t>
      </w:r>
      <w:bookmarkEnd w:id="129"/>
    </w:p>
    <w:p w14:paraId="275A488E">
      <w:pPr>
        <w:adjustRightInd w:val="0"/>
        <w:snapToGrid w:val="0"/>
        <w:spacing w:line="380" w:lineRule="exact"/>
        <w:ind w:firstLine="420" w:firstLineChars="200"/>
        <w:rPr>
          <w:rFonts w:hint="eastAsia" w:ascii="宋体" w:hAnsi="宋体"/>
          <w:bCs/>
          <w:color w:val="000000"/>
          <w:szCs w:val="21"/>
          <w:highlight w:val="none"/>
        </w:rPr>
      </w:pPr>
      <w:r>
        <w:rPr>
          <w:rFonts w:hint="eastAsia" w:ascii="宋体" w:hAnsi="宋体"/>
          <w:bCs/>
          <w:szCs w:val="21"/>
          <w:highlight w:val="none"/>
        </w:rPr>
        <w:t xml:space="preserve">联系人: </w:t>
      </w:r>
      <w:r>
        <w:rPr>
          <w:rFonts w:hint="eastAsia" w:ascii="宋体" w:hAnsi="宋体"/>
          <w:bCs/>
          <w:color w:val="000000"/>
          <w:szCs w:val="21"/>
          <w:highlight w:val="none"/>
        </w:rPr>
        <w:t>程龙</w:t>
      </w:r>
    </w:p>
    <w:p w14:paraId="0E4BA2C1">
      <w:pPr>
        <w:adjustRightInd w:val="0"/>
        <w:snapToGrid w:val="0"/>
        <w:spacing w:line="380" w:lineRule="exact"/>
        <w:ind w:firstLine="420" w:firstLineChars="200"/>
        <w:rPr>
          <w:rFonts w:hint="eastAsia" w:ascii="宋体" w:hAnsi="宋体"/>
          <w:bCs/>
          <w:color w:val="000000"/>
          <w:szCs w:val="21"/>
          <w:highlight w:val="none"/>
        </w:rPr>
      </w:pPr>
      <w:r>
        <w:rPr>
          <w:rFonts w:hint="eastAsia" w:ascii="宋体" w:hAnsi="宋体"/>
          <w:bCs/>
          <w:szCs w:val="21"/>
          <w:highlight w:val="none"/>
        </w:rPr>
        <w:t xml:space="preserve">电  话: </w:t>
      </w:r>
      <w:bookmarkStart w:id="130" w:name="OLE_LINK47"/>
      <w:r>
        <w:rPr>
          <w:rFonts w:hint="eastAsia" w:ascii="宋体" w:hAnsi="宋体"/>
          <w:bCs/>
          <w:color w:val="000000"/>
          <w:szCs w:val="21"/>
          <w:highlight w:val="none"/>
        </w:rPr>
        <w:t>0433-2705321</w:t>
      </w:r>
      <w:bookmarkEnd w:id="130"/>
    </w:p>
    <w:p w14:paraId="1A5A8D35">
      <w:pPr>
        <w:adjustRightInd w:val="0"/>
        <w:snapToGrid w:val="0"/>
        <w:spacing w:line="380" w:lineRule="exact"/>
        <w:ind w:firstLine="420" w:firstLineChars="200"/>
        <w:rPr>
          <w:rFonts w:hint="eastAsia" w:ascii="黑体" w:hAnsi="黑体" w:eastAsia="黑体"/>
          <w:bCs/>
          <w:sz w:val="24"/>
          <w:szCs w:val="24"/>
          <w:highlight w:val="none"/>
        </w:rPr>
      </w:pPr>
      <w:r>
        <w:rPr>
          <w:rFonts w:hint="eastAsia" w:ascii="黑体" w:hAnsi="黑体" w:eastAsia="黑体"/>
          <w:bCs/>
          <w:szCs w:val="21"/>
          <w:highlight w:val="none"/>
        </w:rPr>
        <w:t>招标代理机构：</w:t>
      </w:r>
      <w:r>
        <w:rPr>
          <w:rFonts w:hint="eastAsia" w:ascii="黑体" w:hAnsi="黑体" w:eastAsia="黑体" w:cs="@仿宋_GB2312"/>
          <w:bCs/>
          <w:szCs w:val="21"/>
          <w:highlight w:val="none"/>
        </w:rPr>
        <w:t>吉林省伟邦公路技术有限公司</w:t>
      </w:r>
    </w:p>
    <w:p w14:paraId="4F3D4D23">
      <w:pPr>
        <w:adjustRightInd w:val="0"/>
        <w:snapToGrid w:val="0"/>
        <w:spacing w:line="380" w:lineRule="exact"/>
        <w:ind w:firstLine="420" w:firstLineChars="200"/>
        <w:rPr>
          <w:rFonts w:hint="eastAsia" w:ascii="宋体" w:hAnsi="宋体" w:cs="Arial Unicode MS"/>
          <w:bCs/>
          <w:color w:val="000000"/>
          <w:szCs w:val="21"/>
          <w:highlight w:val="none"/>
        </w:rPr>
      </w:pPr>
      <w:r>
        <w:rPr>
          <w:rFonts w:hint="eastAsia" w:ascii="宋体" w:hAnsi="宋体" w:cs="Arial Unicode MS"/>
          <w:bCs/>
          <w:color w:val="000000"/>
          <w:szCs w:val="21"/>
          <w:highlight w:val="none"/>
        </w:rPr>
        <w:t>地  址：长春净月高新技术产业开发区擎天树街855号</w:t>
      </w:r>
    </w:p>
    <w:p w14:paraId="2C2CDD53">
      <w:pPr>
        <w:adjustRightInd w:val="0"/>
        <w:snapToGrid w:val="0"/>
        <w:spacing w:line="380" w:lineRule="exact"/>
        <w:ind w:firstLine="420" w:firstLineChars="200"/>
        <w:rPr>
          <w:rFonts w:hint="eastAsia" w:ascii="宋体" w:hAnsi="宋体" w:cs="Arial Unicode MS"/>
          <w:bCs/>
          <w:color w:val="000000"/>
          <w:szCs w:val="21"/>
          <w:highlight w:val="none"/>
        </w:rPr>
      </w:pPr>
      <w:r>
        <w:rPr>
          <w:rFonts w:hint="eastAsia" w:ascii="宋体" w:hAnsi="宋体" w:cs="Arial Unicode MS"/>
          <w:bCs/>
          <w:color w:val="000000"/>
          <w:szCs w:val="21"/>
          <w:highlight w:val="none"/>
        </w:rPr>
        <w:t>邮政编码：130117</w:t>
      </w:r>
    </w:p>
    <w:p w14:paraId="53A63E00">
      <w:pPr>
        <w:adjustRightInd w:val="0"/>
        <w:snapToGrid w:val="0"/>
        <w:spacing w:line="380" w:lineRule="exact"/>
        <w:ind w:firstLine="420" w:firstLineChars="200"/>
        <w:rPr>
          <w:rFonts w:hint="eastAsia" w:ascii="宋体" w:hAnsi="宋体"/>
          <w:bCs/>
          <w:szCs w:val="21"/>
          <w:highlight w:val="none"/>
        </w:rPr>
      </w:pPr>
      <w:r>
        <w:rPr>
          <w:rFonts w:hint="eastAsia" w:ascii="宋体" w:hAnsi="宋体"/>
          <w:bCs/>
          <w:szCs w:val="21"/>
          <w:highlight w:val="none"/>
        </w:rPr>
        <w:t>联系人：赵鑫、刘世远</w:t>
      </w:r>
    </w:p>
    <w:p w14:paraId="112EF9CD">
      <w:pPr>
        <w:adjustRightInd w:val="0"/>
        <w:snapToGrid w:val="0"/>
        <w:spacing w:line="380" w:lineRule="exact"/>
        <w:ind w:firstLine="420" w:firstLineChars="200"/>
        <w:rPr>
          <w:rFonts w:hint="eastAsia" w:ascii="宋体" w:hAnsi="宋体" w:cs="Arial Unicode MS"/>
          <w:bCs/>
          <w:color w:val="000000"/>
          <w:szCs w:val="21"/>
          <w:highlight w:val="none"/>
        </w:rPr>
      </w:pPr>
      <w:r>
        <w:rPr>
          <w:rFonts w:hint="eastAsia" w:ascii="宋体" w:hAnsi="宋体" w:cs="Arial Unicode MS"/>
          <w:bCs/>
          <w:color w:val="000000"/>
          <w:szCs w:val="21"/>
          <w:highlight w:val="none"/>
        </w:rPr>
        <w:t>电  话：</w:t>
      </w:r>
      <w:r>
        <w:rPr>
          <w:rFonts w:ascii="宋体" w:hAnsi="宋体" w:cs="Arial Unicode MS"/>
          <w:bCs/>
          <w:color w:val="000000"/>
          <w:szCs w:val="21"/>
          <w:highlight w:val="none"/>
        </w:rPr>
        <w:t>0431</w:t>
      </w:r>
      <w:r>
        <w:rPr>
          <w:rFonts w:hint="eastAsia" w:ascii="宋体" w:hAnsi="宋体" w:cs="Arial Unicode MS"/>
          <w:bCs/>
          <w:color w:val="000000"/>
          <w:szCs w:val="21"/>
          <w:highlight w:val="none"/>
        </w:rPr>
        <w:t>-</w:t>
      </w:r>
      <w:r>
        <w:rPr>
          <w:rFonts w:ascii="宋体" w:hAnsi="宋体" w:cs="Arial Unicode MS"/>
          <w:bCs/>
          <w:color w:val="000000"/>
          <w:szCs w:val="21"/>
          <w:highlight w:val="none"/>
        </w:rPr>
        <w:t xml:space="preserve"> 88655555</w:t>
      </w:r>
    </w:p>
    <w:p w14:paraId="6E9563B7">
      <w:pPr>
        <w:adjustRightInd w:val="0"/>
        <w:snapToGrid w:val="0"/>
        <w:spacing w:line="380" w:lineRule="exact"/>
        <w:ind w:firstLine="420" w:firstLineChars="200"/>
        <w:rPr>
          <w:rFonts w:hint="eastAsia" w:ascii="宋体" w:hAnsi="宋体" w:cs="Arial Unicode MS"/>
          <w:bCs/>
          <w:color w:val="000000"/>
          <w:szCs w:val="21"/>
          <w:highlight w:val="none"/>
        </w:rPr>
      </w:pPr>
      <w:r>
        <w:rPr>
          <w:rFonts w:hint="eastAsia" w:ascii="宋体" w:hAnsi="宋体" w:cs="Arial Unicode MS"/>
          <w:bCs/>
          <w:color w:val="000000"/>
          <w:szCs w:val="21"/>
          <w:highlight w:val="none"/>
        </w:rPr>
        <w:t>项目负责人：李金波</w:t>
      </w:r>
    </w:p>
    <w:p w14:paraId="3EE8F7BB">
      <w:pPr>
        <w:adjustRightInd w:val="0"/>
        <w:snapToGrid w:val="0"/>
        <w:spacing w:line="380" w:lineRule="exact"/>
        <w:ind w:firstLine="420" w:firstLineChars="200"/>
        <w:rPr>
          <w:rFonts w:hint="eastAsia" w:ascii="宋体" w:hAnsi="宋体" w:cs="Arial Unicode MS"/>
          <w:bCs/>
          <w:color w:val="000000"/>
          <w:szCs w:val="21"/>
          <w:highlight w:val="none"/>
        </w:rPr>
      </w:pPr>
      <w:r>
        <w:rPr>
          <w:rFonts w:hint="eastAsia" w:ascii="黑体" w:hAnsi="黑体" w:eastAsia="黑体" w:cs="Arial Unicode MS"/>
          <w:bCs/>
          <w:color w:val="000000"/>
          <w:szCs w:val="21"/>
          <w:highlight w:val="none"/>
        </w:rPr>
        <w:t>监督部门：吉林省交通运输厅</w:t>
      </w:r>
    </w:p>
    <w:p w14:paraId="0B66EC36">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楷体" w:hAnsi="楷体" w:eastAsia="楷体"/>
          <w:bCs/>
          <w:sz w:val="24"/>
          <w:szCs w:val="21"/>
          <w:highlight w:val="none"/>
        </w:rPr>
      </w:pPr>
    </w:p>
    <w:p w14:paraId="0541ACE4">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楷体" w:hAnsi="楷体" w:eastAsia="楷体"/>
          <w:bCs/>
          <w:sz w:val="24"/>
          <w:szCs w:val="21"/>
          <w:highlight w:val="none"/>
        </w:rPr>
      </w:pPr>
    </w:p>
    <w:p w14:paraId="1834495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楷体" w:hAnsi="楷体" w:eastAsia="楷体"/>
          <w:bCs/>
          <w:sz w:val="24"/>
          <w:szCs w:val="21"/>
          <w:highlight w:val="none"/>
        </w:rPr>
      </w:pPr>
    </w:p>
    <w:bookmarkEnd w:id="131"/>
    <w:sectPr>
      <w:headerReference r:id="rId4" w:type="default"/>
      <w:footerReference r:id="rId5" w:type="default"/>
      <w:footnotePr>
        <w:numFmt w:val="decimalEnclosedCircleChinese"/>
        <w:numRestart w:val="eachPage"/>
      </w:footnotePr>
      <w:pgSz w:w="11907" w:h="16840"/>
      <w:pgMar w:top="1134" w:right="1134" w:bottom="1134" w:left="1134" w:header="0" w:footer="56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onsolas">
    <w:panose1 w:val="020B0609020204030204"/>
    <w:charset w:val="00"/>
    <w:family w:val="modern"/>
    <w:pitch w:val="default"/>
    <w:sig w:usb0="E00006FF" w:usb1="0000FCFF" w:usb2="00000001" w:usb3="00000000" w:csb0="6000019F" w:csb1="DFD7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Sylfaen">
    <w:panose1 w:val="010A0502050306030303"/>
    <w:charset w:val="00"/>
    <w:family w:val="roman"/>
    <w:pitch w:val="default"/>
    <w:sig w:usb0="04000687" w:usb1="00000000" w:usb2="00000000" w:usb3="00000000" w:csb0="2000009F" w:csb1="00000000"/>
  </w:font>
  <w:font w:name="Lucida Sans Unicode">
    <w:panose1 w:val="020B0602030504020204"/>
    <w:charset w:val="00"/>
    <w:family w:val="swiss"/>
    <w:pitch w:val="default"/>
    <w:sig w:usb0="80001AFF" w:usb1="0000396B" w:usb2="00000000" w:usb3="00000000" w:csb0="200000BF" w:csb1="D7F70000"/>
  </w:font>
  <w:font w:name="华文细黑">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微软雅黑"/>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SJQY">
    <w:altName w:val="@宋体"/>
    <w:panose1 w:val="02010600030101010101"/>
    <w:charset w:val="86"/>
    <w:family w:val="auto"/>
    <w:pitch w:val="default"/>
    <w:sig w:usb0="00000000" w:usb1="00000000" w:usb2="00000010" w:usb3="00000000" w:csb0="00040001" w:csb1="00000000"/>
  </w:font>
  <w:font w:name="@宋体">
    <w:panose1 w:val="02010600030101010101"/>
    <w:charset w:val="86"/>
    <w:family w:val="auto"/>
    <w:pitch w:val="default"/>
    <w:sig w:usb0="00000203" w:usb1="288F0000" w:usb2="00000006" w:usb3="00000000" w:csb0="00040001" w:csb1="00000000"/>
  </w:font>
  <w:font w:name="楷体">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楷体_GB2312">
    <w:altName w:val="楷体"/>
    <w:panose1 w:val="00000000000000000000"/>
    <w:charset w:val="86"/>
    <w:family w:val="modern"/>
    <w:pitch w:val="default"/>
    <w:sig w:usb0="00000000" w:usb1="00000000" w:usb2="00000000" w:usb3="00000000" w:csb0="00040000" w:csb1="00000000"/>
  </w:font>
  <w:font w:name="方正姚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42277721"/>
    </w:sdtPr>
    <w:sdtEndPr>
      <w:rPr>
        <w:rFonts w:ascii="方正姚体" w:eastAsia="方正姚体"/>
        <w:sz w:val="24"/>
        <w:szCs w:val="24"/>
      </w:rPr>
    </w:sdtEndPr>
    <w:sdtContent>
      <w:p w14:paraId="7DD1AD1B">
        <w:pPr>
          <w:pStyle w:val="34"/>
          <w:jc w:val="center"/>
          <w:rPr>
            <w:rFonts w:ascii="方正姚体" w:eastAsia="方正姚体"/>
            <w:sz w:val="24"/>
            <w:szCs w:val="24"/>
          </w:rPr>
        </w:pPr>
        <w:r>
          <w:rPr>
            <w:rFonts w:ascii="方正姚体" w:eastAsia="方正姚体"/>
            <w:sz w:val="24"/>
            <w:szCs w:val="24"/>
          </w:rPr>
          <w:fldChar w:fldCharType="begin"/>
        </w:r>
        <w:r>
          <w:rPr>
            <w:rFonts w:ascii="方正姚体" w:eastAsia="方正姚体"/>
            <w:sz w:val="24"/>
            <w:szCs w:val="24"/>
          </w:rPr>
          <w:instrText xml:space="preserve">PAGE   \* MERGEFORMAT</w:instrText>
        </w:r>
        <w:r>
          <w:rPr>
            <w:rFonts w:ascii="方正姚体" w:eastAsia="方正姚体"/>
            <w:sz w:val="24"/>
            <w:szCs w:val="24"/>
          </w:rPr>
          <w:fldChar w:fldCharType="separate"/>
        </w:r>
        <w:r>
          <w:rPr>
            <w:rFonts w:ascii="方正姚体" w:eastAsia="方正姚体"/>
            <w:sz w:val="24"/>
            <w:szCs w:val="24"/>
          </w:rPr>
          <w:t>75</w:t>
        </w:r>
        <w:r>
          <w:rPr>
            <w:rFonts w:ascii="方正姚体" w:eastAsia="方正姚体"/>
            <w:sz w:val="24"/>
            <w:szCs w:val="24"/>
          </w:rPr>
          <w:fldChar w:fldCharType="end"/>
        </w:r>
      </w:p>
    </w:sdtContent>
  </w:sdt>
  <w:p w14:paraId="6FEAE229">
    <w:pPr>
      <w:pStyle w:val="34"/>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14:paraId="5F1C6EB7">
      <w:pPr>
        <w:pStyle w:val="41"/>
        <w:jc w:val="both"/>
        <w:rPr>
          <w:rFonts w:hint="eastAsia" w:ascii="楷体" w:hAnsi="楷体" w:eastAsia="楷体"/>
        </w:rPr>
      </w:pPr>
      <w:r>
        <w:rPr>
          <w:rStyle w:val="68"/>
        </w:rPr>
        <w:footnoteRef/>
      </w:r>
      <w:r>
        <w:rPr>
          <w:rFonts w:hint="eastAsia" w:ascii="楷体" w:hAnsi="楷体" w:eastAsia="楷体"/>
        </w:rPr>
        <w:t>a.“投标人须知前附表”用于进一步明确正文中的未尽事宜，凡“投标人须知前附表”对本章正文内容进行完善和补充的，均以“投标人须知前附表”为准；未进行补充、完善的，以本章正文内容为准。</w:t>
      </w:r>
    </w:p>
    <w:p w14:paraId="60D03D38">
      <w:pPr>
        <w:pStyle w:val="41"/>
        <w:ind w:firstLine="180" w:firstLineChars="100"/>
        <w:jc w:val="both"/>
        <w:rPr>
          <w:rFonts w:hint="eastAsia" w:ascii="楷体" w:hAnsi="楷体" w:eastAsia="楷体"/>
        </w:rPr>
      </w:pPr>
      <w:r>
        <w:rPr>
          <w:rFonts w:hint="eastAsia" w:ascii="楷体" w:hAnsi="楷体" w:eastAsia="楷体"/>
        </w:rPr>
        <w:t>b.“投标人须知前附表”中的附录表格同属“投标人须知前附表”内容，具有同等效力。</w:t>
      </w:r>
    </w:p>
  </w:footnote>
  <w:footnote w:id="1">
    <w:p w14:paraId="2564A413">
      <w:pPr>
        <w:pStyle w:val="41"/>
        <w:jc w:val="both"/>
        <w:rPr>
          <w:rFonts w:hint="eastAsia" w:ascii="楷体" w:hAnsi="楷体" w:eastAsia="楷体"/>
        </w:rPr>
      </w:pPr>
      <w:r>
        <w:rPr>
          <w:rStyle w:val="68"/>
        </w:rPr>
        <w:footnoteRef/>
      </w:r>
      <w:r>
        <w:rPr>
          <w:rFonts w:hint="eastAsia" w:ascii="楷体" w:hAnsi="楷体" w:eastAsia="楷体"/>
        </w:rPr>
        <w:t>“评标办法前附表”用于明确评标的方法、因素、标准和程序。没有列明的因素和标准不得作为评标的依据。凡“评标办法前附表”对本章正文内容进行完善和补充的，均以“评标办法前附表”为准；未进行补充、完善的，以本章正文内容为准。</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882BD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C16DCD"/>
    <w:multiLevelType w:val="multilevel"/>
    <w:tmpl w:val="1BC16DCD"/>
    <w:lvl w:ilvl="0" w:tentative="0">
      <w:start w:val="1"/>
      <w:numFmt w:val="decimal"/>
      <w:suff w:val="nothing"/>
      <w:lvlText w:val="（%1）"/>
      <w:lvlJc w:val="left"/>
      <w:pPr>
        <w:ind w:left="3113" w:hanging="420"/>
      </w:pPr>
      <w:rPr>
        <w:rFonts w:hint="default"/>
        <w:sz w:val="20"/>
        <w:lang w:val="en-US"/>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3E591CCF"/>
    <w:multiLevelType w:val="multilevel"/>
    <w:tmpl w:val="3E591CCF"/>
    <w:lvl w:ilvl="0" w:tentative="0">
      <w:start w:val="1"/>
      <w:numFmt w:val="decimal"/>
      <w:suff w:val="nothing"/>
      <w:lvlText w:val="（%1）"/>
      <w:lvlJc w:val="left"/>
      <w:pPr>
        <w:ind w:left="704" w:hanging="420"/>
      </w:pPr>
      <w:rPr>
        <w:rFonts w:hint="default" w:ascii="宋体" w:hAnsi="宋体" w:eastAsia="宋体"/>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68E60348"/>
    <w:multiLevelType w:val="multilevel"/>
    <w:tmpl w:val="68E60348"/>
    <w:lvl w:ilvl="0" w:tentative="0">
      <w:start w:val="1"/>
      <w:numFmt w:val="decimal"/>
      <w:suff w:val="nothing"/>
      <w:lvlText w:val="（%1）"/>
      <w:lvlJc w:val="left"/>
      <w:pPr>
        <w:ind w:left="580" w:hanging="420"/>
      </w:pPr>
      <w:rPr>
        <w:rFonts w:hint="default"/>
        <w:b w:val="0"/>
      </w:rPr>
    </w:lvl>
    <w:lvl w:ilvl="1" w:tentative="0">
      <w:start w:val="1"/>
      <w:numFmt w:val="lowerLetter"/>
      <w:lvlText w:val="%2)"/>
      <w:lvlJc w:val="left"/>
      <w:pPr>
        <w:ind w:left="1000" w:hanging="420"/>
      </w:pPr>
    </w:lvl>
    <w:lvl w:ilvl="2" w:tentative="0">
      <w:start w:val="1"/>
      <w:numFmt w:val="lowerRoman"/>
      <w:lvlText w:val="%3."/>
      <w:lvlJc w:val="right"/>
      <w:pPr>
        <w:ind w:left="1420" w:hanging="420"/>
      </w:pPr>
    </w:lvl>
    <w:lvl w:ilvl="3" w:tentative="0">
      <w:start w:val="1"/>
      <w:numFmt w:val="decimal"/>
      <w:lvlText w:val="%4."/>
      <w:lvlJc w:val="left"/>
      <w:pPr>
        <w:ind w:left="1840" w:hanging="420"/>
      </w:pPr>
    </w:lvl>
    <w:lvl w:ilvl="4" w:tentative="0">
      <w:start w:val="1"/>
      <w:numFmt w:val="lowerLetter"/>
      <w:lvlText w:val="%5)"/>
      <w:lvlJc w:val="left"/>
      <w:pPr>
        <w:ind w:left="2260" w:hanging="420"/>
      </w:pPr>
    </w:lvl>
    <w:lvl w:ilvl="5" w:tentative="0">
      <w:start w:val="1"/>
      <w:numFmt w:val="lowerRoman"/>
      <w:lvlText w:val="%6."/>
      <w:lvlJc w:val="right"/>
      <w:pPr>
        <w:ind w:left="2680" w:hanging="420"/>
      </w:pPr>
    </w:lvl>
    <w:lvl w:ilvl="6" w:tentative="0">
      <w:start w:val="1"/>
      <w:numFmt w:val="decimal"/>
      <w:lvlText w:val="%7."/>
      <w:lvlJc w:val="left"/>
      <w:pPr>
        <w:ind w:left="3100" w:hanging="420"/>
      </w:pPr>
    </w:lvl>
    <w:lvl w:ilvl="7" w:tentative="0">
      <w:start w:val="1"/>
      <w:numFmt w:val="lowerLetter"/>
      <w:lvlText w:val="%8)"/>
      <w:lvlJc w:val="left"/>
      <w:pPr>
        <w:ind w:left="3520" w:hanging="420"/>
      </w:pPr>
    </w:lvl>
    <w:lvl w:ilvl="8" w:tentative="0">
      <w:start w:val="1"/>
      <w:numFmt w:val="lowerRoman"/>
      <w:lvlText w:val="%9."/>
      <w:lvlJc w:val="right"/>
      <w:pPr>
        <w:ind w:left="394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bordersDoNotSurroundHeader w:val="1"/>
  <w:bordersDoNotSurroundFooter w:val="1"/>
  <w:hideSpellingErrors/>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ocumentProtection w:enforcement="0"/>
  <w:defaultTabStop w:val="720"/>
  <w:drawingGridHorizontalSpacing w:val="120"/>
  <w:drawingGridVerticalSpacing w:val="120"/>
  <w:displayHorizontalDrawingGridEvery w:val="0"/>
  <w:displayVerticalDrawingGridEvery w:val="2"/>
  <w:doNotUseMarginsForDrawingGridOrigin w:val="1"/>
  <w:drawingGridHorizontalOrigin w:val="1800"/>
  <w:drawingGridVerticalOrigin w:val="1440"/>
  <w:doNotShadeFormData w:val="1"/>
  <w:characterSpacingControl w:val="compressPunctuation"/>
  <w:doNotValidateAgainstSchema/>
  <w:doNotDemarcateInvalidXml/>
  <w:footnotePr>
    <w:numFmt w:val="decimalEnclosedCircleChinese"/>
    <w:numRestart w:val="eachPage"/>
    <w:footnote w:id="4"/>
    <w:footnote w:id="5"/>
  </w:foot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2"/>
  </w:compat>
  <w:docVars>
    <w:docVar w:name="commondata" w:val="eyJoZGlkIjoiNjg4NDg5MzQ2ODhiZjNjMDY1N2MyNjIwNWE2YjVlN2YifQ=="/>
  </w:docVars>
  <w:rsids>
    <w:rsidRoot w:val="00E22355"/>
    <w:rsid w:val="0000047E"/>
    <w:rsid w:val="00000616"/>
    <w:rsid w:val="00000B9B"/>
    <w:rsid w:val="00001150"/>
    <w:rsid w:val="0000125B"/>
    <w:rsid w:val="0000164E"/>
    <w:rsid w:val="00001854"/>
    <w:rsid w:val="00001A49"/>
    <w:rsid w:val="00001A73"/>
    <w:rsid w:val="00001BC8"/>
    <w:rsid w:val="00001BDE"/>
    <w:rsid w:val="00001BE4"/>
    <w:rsid w:val="00001EB2"/>
    <w:rsid w:val="000024F7"/>
    <w:rsid w:val="00002670"/>
    <w:rsid w:val="0000285B"/>
    <w:rsid w:val="00002BBD"/>
    <w:rsid w:val="00002CF2"/>
    <w:rsid w:val="00002EE6"/>
    <w:rsid w:val="00002F53"/>
    <w:rsid w:val="00003015"/>
    <w:rsid w:val="000031D7"/>
    <w:rsid w:val="000031FC"/>
    <w:rsid w:val="00003556"/>
    <w:rsid w:val="00003959"/>
    <w:rsid w:val="00003CBD"/>
    <w:rsid w:val="00003F2E"/>
    <w:rsid w:val="00004231"/>
    <w:rsid w:val="0000434F"/>
    <w:rsid w:val="000043B9"/>
    <w:rsid w:val="0000466A"/>
    <w:rsid w:val="00004BB5"/>
    <w:rsid w:val="000051CB"/>
    <w:rsid w:val="000055C5"/>
    <w:rsid w:val="00005699"/>
    <w:rsid w:val="00005739"/>
    <w:rsid w:val="000058E7"/>
    <w:rsid w:val="00005BA7"/>
    <w:rsid w:val="00005DD1"/>
    <w:rsid w:val="0000627B"/>
    <w:rsid w:val="00006805"/>
    <w:rsid w:val="000068D4"/>
    <w:rsid w:val="000068D5"/>
    <w:rsid w:val="00006A5D"/>
    <w:rsid w:val="00006B6E"/>
    <w:rsid w:val="00006D5F"/>
    <w:rsid w:val="000071A3"/>
    <w:rsid w:val="000071F3"/>
    <w:rsid w:val="0000725C"/>
    <w:rsid w:val="0000793A"/>
    <w:rsid w:val="00007B9F"/>
    <w:rsid w:val="0001050C"/>
    <w:rsid w:val="0001063F"/>
    <w:rsid w:val="00011190"/>
    <w:rsid w:val="000111B0"/>
    <w:rsid w:val="00011359"/>
    <w:rsid w:val="00011497"/>
    <w:rsid w:val="000116D4"/>
    <w:rsid w:val="0001172C"/>
    <w:rsid w:val="000117AF"/>
    <w:rsid w:val="00011910"/>
    <w:rsid w:val="00011962"/>
    <w:rsid w:val="0001261F"/>
    <w:rsid w:val="00012A68"/>
    <w:rsid w:val="00012D41"/>
    <w:rsid w:val="00012D95"/>
    <w:rsid w:val="000130B6"/>
    <w:rsid w:val="00013948"/>
    <w:rsid w:val="00013EDE"/>
    <w:rsid w:val="0001472F"/>
    <w:rsid w:val="00014BD4"/>
    <w:rsid w:val="00015078"/>
    <w:rsid w:val="00015328"/>
    <w:rsid w:val="00015A5E"/>
    <w:rsid w:val="00015C7C"/>
    <w:rsid w:val="00016470"/>
    <w:rsid w:val="00016A51"/>
    <w:rsid w:val="00016D15"/>
    <w:rsid w:val="00016E09"/>
    <w:rsid w:val="00016F24"/>
    <w:rsid w:val="00016FA1"/>
    <w:rsid w:val="000177C6"/>
    <w:rsid w:val="00017A7F"/>
    <w:rsid w:val="00017B0C"/>
    <w:rsid w:val="00017D49"/>
    <w:rsid w:val="00020334"/>
    <w:rsid w:val="0002033A"/>
    <w:rsid w:val="0002040E"/>
    <w:rsid w:val="000205BC"/>
    <w:rsid w:val="000207BA"/>
    <w:rsid w:val="00020BEA"/>
    <w:rsid w:val="00020C0A"/>
    <w:rsid w:val="00020DAB"/>
    <w:rsid w:val="00020F50"/>
    <w:rsid w:val="000216DB"/>
    <w:rsid w:val="000218A3"/>
    <w:rsid w:val="00021CCD"/>
    <w:rsid w:val="000222EF"/>
    <w:rsid w:val="00022355"/>
    <w:rsid w:val="00022437"/>
    <w:rsid w:val="0002244B"/>
    <w:rsid w:val="000225E8"/>
    <w:rsid w:val="0002293A"/>
    <w:rsid w:val="00022A3A"/>
    <w:rsid w:val="00023633"/>
    <w:rsid w:val="00023832"/>
    <w:rsid w:val="000238B0"/>
    <w:rsid w:val="00023CDA"/>
    <w:rsid w:val="00023DF6"/>
    <w:rsid w:val="00023F00"/>
    <w:rsid w:val="00024062"/>
    <w:rsid w:val="000240A3"/>
    <w:rsid w:val="000241B5"/>
    <w:rsid w:val="0002422C"/>
    <w:rsid w:val="0002425C"/>
    <w:rsid w:val="000246DD"/>
    <w:rsid w:val="00024A6C"/>
    <w:rsid w:val="00024B51"/>
    <w:rsid w:val="00024C27"/>
    <w:rsid w:val="00024CAF"/>
    <w:rsid w:val="00024E53"/>
    <w:rsid w:val="00025327"/>
    <w:rsid w:val="0002544A"/>
    <w:rsid w:val="00025785"/>
    <w:rsid w:val="00025A53"/>
    <w:rsid w:val="00025D96"/>
    <w:rsid w:val="00025D97"/>
    <w:rsid w:val="00025DEA"/>
    <w:rsid w:val="00026092"/>
    <w:rsid w:val="00026167"/>
    <w:rsid w:val="00026758"/>
    <w:rsid w:val="0002695E"/>
    <w:rsid w:val="00026B5C"/>
    <w:rsid w:val="00026BD3"/>
    <w:rsid w:val="00026C92"/>
    <w:rsid w:val="000275A5"/>
    <w:rsid w:val="000276C7"/>
    <w:rsid w:val="00027AEC"/>
    <w:rsid w:val="00027B55"/>
    <w:rsid w:val="000306FE"/>
    <w:rsid w:val="00030B33"/>
    <w:rsid w:val="00030C58"/>
    <w:rsid w:val="00030CA0"/>
    <w:rsid w:val="00030FA6"/>
    <w:rsid w:val="0003160B"/>
    <w:rsid w:val="00031A55"/>
    <w:rsid w:val="00031ABE"/>
    <w:rsid w:val="00031DA5"/>
    <w:rsid w:val="00032145"/>
    <w:rsid w:val="0003216C"/>
    <w:rsid w:val="000324C7"/>
    <w:rsid w:val="0003253E"/>
    <w:rsid w:val="00032935"/>
    <w:rsid w:val="00032CA5"/>
    <w:rsid w:val="00032D5A"/>
    <w:rsid w:val="00032EFE"/>
    <w:rsid w:val="000332DF"/>
    <w:rsid w:val="00033977"/>
    <w:rsid w:val="00033B42"/>
    <w:rsid w:val="00033C60"/>
    <w:rsid w:val="00033D09"/>
    <w:rsid w:val="00033DEB"/>
    <w:rsid w:val="0003436F"/>
    <w:rsid w:val="000350E3"/>
    <w:rsid w:val="0003563D"/>
    <w:rsid w:val="0003584B"/>
    <w:rsid w:val="000359B5"/>
    <w:rsid w:val="00035D19"/>
    <w:rsid w:val="00035DAE"/>
    <w:rsid w:val="00036333"/>
    <w:rsid w:val="00036856"/>
    <w:rsid w:val="00036C12"/>
    <w:rsid w:val="000370BF"/>
    <w:rsid w:val="0003747F"/>
    <w:rsid w:val="00040EEF"/>
    <w:rsid w:val="00041072"/>
    <w:rsid w:val="0004129B"/>
    <w:rsid w:val="00041463"/>
    <w:rsid w:val="0004164D"/>
    <w:rsid w:val="000416C9"/>
    <w:rsid w:val="00041960"/>
    <w:rsid w:val="00041FE5"/>
    <w:rsid w:val="000421D4"/>
    <w:rsid w:val="00042733"/>
    <w:rsid w:val="00042816"/>
    <w:rsid w:val="00042A80"/>
    <w:rsid w:val="00042BB8"/>
    <w:rsid w:val="0004335D"/>
    <w:rsid w:val="00043684"/>
    <w:rsid w:val="000437CF"/>
    <w:rsid w:val="00043FB7"/>
    <w:rsid w:val="0004422D"/>
    <w:rsid w:val="0004431A"/>
    <w:rsid w:val="0004448A"/>
    <w:rsid w:val="00044BDD"/>
    <w:rsid w:val="00044E7F"/>
    <w:rsid w:val="00044F9E"/>
    <w:rsid w:val="000450E8"/>
    <w:rsid w:val="00045320"/>
    <w:rsid w:val="000454A1"/>
    <w:rsid w:val="000457F5"/>
    <w:rsid w:val="00045885"/>
    <w:rsid w:val="00045B5B"/>
    <w:rsid w:val="00045D64"/>
    <w:rsid w:val="000460CB"/>
    <w:rsid w:val="0004645E"/>
    <w:rsid w:val="000466E5"/>
    <w:rsid w:val="00046751"/>
    <w:rsid w:val="00046AE4"/>
    <w:rsid w:val="00046C88"/>
    <w:rsid w:val="00046F1F"/>
    <w:rsid w:val="00047021"/>
    <w:rsid w:val="00047393"/>
    <w:rsid w:val="0004763C"/>
    <w:rsid w:val="00047890"/>
    <w:rsid w:val="00047B78"/>
    <w:rsid w:val="000500F7"/>
    <w:rsid w:val="00050302"/>
    <w:rsid w:val="0005030B"/>
    <w:rsid w:val="0005070F"/>
    <w:rsid w:val="000507C6"/>
    <w:rsid w:val="00051199"/>
    <w:rsid w:val="00051BAA"/>
    <w:rsid w:val="0005207B"/>
    <w:rsid w:val="000526EE"/>
    <w:rsid w:val="000528C3"/>
    <w:rsid w:val="000528ED"/>
    <w:rsid w:val="00052AAC"/>
    <w:rsid w:val="00052D21"/>
    <w:rsid w:val="00053017"/>
    <w:rsid w:val="0005386D"/>
    <w:rsid w:val="00053C62"/>
    <w:rsid w:val="00053CBB"/>
    <w:rsid w:val="00053FFB"/>
    <w:rsid w:val="0005402B"/>
    <w:rsid w:val="000545CD"/>
    <w:rsid w:val="00055490"/>
    <w:rsid w:val="000554A6"/>
    <w:rsid w:val="000554F6"/>
    <w:rsid w:val="00055681"/>
    <w:rsid w:val="0005592D"/>
    <w:rsid w:val="00055A17"/>
    <w:rsid w:val="00055CAF"/>
    <w:rsid w:val="00055FAB"/>
    <w:rsid w:val="00055FF9"/>
    <w:rsid w:val="00056018"/>
    <w:rsid w:val="000564B6"/>
    <w:rsid w:val="000564C1"/>
    <w:rsid w:val="0005680E"/>
    <w:rsid w:val="000569E1"/>
    <w:rsid w:val="00056AC2"/>
    <w:rsid w:val="00056B5C"/>
    <w:rsid w:val="00056D9F"/>
    <w:rsid w:val="00056DB2"/>
    <w:rsid w:val="00056F5C"/>
    <w:rsid w:val="0005744C"/>
    <w:rsid w:val="00057856"/>
    <w:rsid w:val="0005799A"/>
    <w:rsid w:val="00057AD1"/>
    <w:rsid w:val="00057DDB"/>
    <w:rsid w:val="0006081B"/>
    <w:rsid w:val="00060AAD"/>
    <w:rsid w:val="00060B2E"/>
    <w:rsid w:val="00060B89"/>
    <w:rsid w:val="00060E7A"/>
    <w:rsid w:val="0006119D"/>
    <w:rsid w:val="0006138F"/>
    <w:rsid w:val="00061398"/>
    <w:rsid w:val="00061CBE"/>
    <w:rsid w:val="00062A62"/>
    <w:rsid w:val="00062E6D"/>
    <w:rsid w:val="0006313A"/>
    <w:rsid w:val="00063534"/>
    <w:rsid w:val="000636E8"/>
    <w:rsid w:val="000639E1"/>
    <w:rsid w:val="00063C68"/>
    <w:rsid w:val="000640FA"/>
    <w:rsid w:val="00064411"/>
    <w:rsid w:val="00064561"/>
    <w:rsid w:val="00064755"/>
    <w:rsid w:val="000651AD"/>
    <w:rsid w:val="00065471"/>
    <w:rsid w:val="00065551"/>
    <w:rsid w:val="00065D5D"/>
    <w:rsid w:val="00065E42"/>
    <w:rsid w:val="000662EB"/>
    <w:rsid w:val="0006678A"/>
    <w:rsid w:val="000669A6"/>
    <w:rsid w:val="000669C1"/>
    <w:rsid w:val="00066AEB"/>
    <w:rsid w:val="00066F0D"/>
    <w:rsid w:val="0006746F"/>
    <w:rsid w:val="00067F1B"/>
    <w:rsid w:val="00070427"/>
    <w:rsid w:val="000705FB"/>
    <w:rsid w:val="0007073F"/>
    <w:rsid w:val="00070864"/>
    <w:rsid w:val="00070C52"/>
    <w:rsid w:val="00070D39"/>
    <w:rsid w:val="00070F3E"/>
    <w:rsid w:val="00070FC5"/>
    <w:rsid w:val="00070FF8"/>
    <w:rsid w:val="00071057"/>
    <w:rsid w:val="000712CC"/>
    <w:rsid w:val="00071598"/>
    <w:rsid w:val="0007169F"/>
    <w:rsid w:val="000718B9"/>
    <w:rsid w:val="00071DA7"/>
    <w:rsid w:val="00071EA0"/>
    <w:rsid w:val="00072451"/>
    <w:rsid w:val="0007250C"/>
    <w:rsid w:val="000726A1"/>
    <w:rsid w:val="00072755"/>
    <w:rsid w:val="00072765"/>
    <w:rsid w:val="000727A1"/>
    <w:rsid w:val="00072A82"/>
    <w:rsid w:val="00072F8E"/>
    <w:rsid w:val="0007315A"/>
    <w:rsid w:val="00073172"/>
    <w:rsid w:val="000732AD"/>
    <w:rsid w:val="000735DB"/>
    <w:rsid w:val="00073CF5"/>
    <w:rsid w:val="000742BF"/>
    <w:rsid w:val="00074389"/>
    <w:rsid w:val="000747BD"/>
    <w:rsid w:val="00074C7D"/>
    <w:rsid w:val="00074DE7"/>
    <w:rsid w:val="000753DD"/>
    <w:rsid w:val="00075435"/>
    <w:rsid w:val="0007556A"/>
    <w:rsid w:val="000756A6"/>
    <w:rsid w:val="00075A91"/>
    <w:rsid w:val="000763CA"/>
    <w:rsid w:val="000765C0"/>
    <w:rsid w:val="000767A0"/>
    <w:rsid w:val="00076C84"/>
    <w:rsid w:val="00076CEA"/>
    <w:rsid w:val="00076DA5"/>
    <w:rsid w:val="00076E35"/>
    <w:rsid w:val="00076FF0"/>
    <w:rsid w:val="000771CE"/>
    <w:rsid w:val="00077570"/>
    <w:rsid w:val="00077716"/>
    <w:rsid w:val="00077776"/>
    <w:rsid w:val="000777F0"/>
    <w:rsid w:val="00077819"/>
    <w:rsid w:val="000778FB"/>
    <w:rsid w:val="00077902"/>
    <w:rsid w:val="0007796E"/>
    <w:rsid w:val="00077D94"/>
    <w:rsid w:val="0008076D"/>
    <w:rsid w:val="00080DB8"/>
    <w:rsid w:val="00081375"/>
    <w:rsid w:val="000816D0"/>
    <w:rsid w:val="000817BB"/>
    <w:rsid w:val="00081960"/>
    <w:rsid w:val="00081A8E"/>
    <w:rsid w:val="00081AB7"/>
    <w:rsid w:val="00081D55"/>
    <w:rsid w:val="00081F69"/>
    <w:rsid w:val="00081FA9"/>
    <w:rsid w:val="000821DD"/>
    <w:rsid w:val="000823F5"/>
    <w:rsid w:val="00082BB7"/>
    <w:rsid w:val="00082E7C"/>
    <w:rsid w:val="00082F43"/>
    <w:rsid w:val="0008332C"/>
    <w:rsid w:val="00083418"/>
    <w:rsid w:val="000839A7"/>
    <w:rsid w:val="00083BA3"/>
    <w:rsid w:val="00083EF4"/>
    <w:rsid w:val="00084183"/>
    <w:rsid w:val="000841DF"/>
    <w:rsid w:val="000842C7"/>
    <w:rsid w:val="0008433F"/>
    <w:rsid w:val="000846AF"/>
    <w:rsid w:val="00084825"/>
    <w:rsid w:val="000848B3"/>
    <w:rsid w:val="00084A3F"/>
    <w:rsid w:val="00084F00"/>
    <w:rsid w:val="00084F8E"/>
    <w:rsid w:val="00084FE5"/>
    <w:rsid w:val="0008506B"/>
    <w:rsid w:val="000855A4"/>
    <w:rsid w:val="000855A7"/>
    <w:rsid w:val="00085660"/>
    <w:rsid w:val="00086818"/>
    <w:rsid w:val="000868C1"/>
    <w:rsid w:val="00086F08"/>
    <w:rsid w:val="0008707D"/>
    <w:rsid w:val="0008708B"/>
    <w:rsid w:val="000870E5"/>
    <w:rsid w:val="0008764D"/>
    <w:rsid w:val="00087723"/>
    <w:rsid w:val="00087899"/>
    <w:rsid w:val="000878E9"/>
    <w:rsid w:val="0008791A"/>
    <w:rsid w:val="00087B04"/>
    <w:rsid w:val="00087CBE"/>
    <w:rsid w:val="000901A1"/>
    <w:rsid w:val="00090609"/>
    <w:rsid w:val="00090726"/>
    <w:rsid w:val="00090E39"/>
    <w:rsid w:val="000911C9"/>
    <w:rsid w:val="000911CA"/>
    <w:rsid w:val="00091331"/>
    <w:rsid w:val="000915FA"/>
    <w:rsid w:val="000916D8"/>
    <w:rsid w:val="00091712"/>
    <w:rsid w:val="00091A02"/>
    <w:rsid w:val="00091B1F"/>
    <w:rsid w:val="00091EC3"/>
    <w:rsid w:val="000922FD"/>
    <w:rsid w:val="000925DD"/>
    <w:rsid w:val="0009275E"/>
    <w:rsid w:val="00092874"/>
    <w:rsid w:val="00092BCB"/>
    <w:rsid w:val="00092F32"/>
    <w:rsid w:val="00092FA3"/>
    <w:rsid w:val="00092FA6"/>
    <w:rsid w:val="0009309D"/>
    <w:rsid w:val="0009360A"/>
    <w:rsid w:val="00093FBC"/>
    <w:rsid w:val="00094341"/>
    <w:rsid w:val="00094420"/>
    <w:rsid w:val="0009454B"/>
    <w:rsid w:val="00094FE3"/>
    <w:rsid w:val="0009512D"/>
    <w:rsid w:val="00095647"/>
    <w:rsid w:val="00095B77"/>
    <w:rsid w:val="00095CFA"/>
    <w:rsid w:val="00095D60"/>
    <w:rsid w:val="00095FFF"/>
    <w:rsid w:val="0009624B"/>
    <w:rsid w:val="00096663"/>
    <w:rsid w:val="00096A7A"/>
    <w:rsid w:val="00096B51"/>
    <w:rsid w:val="00096B6B"/>
    <w:rsid w:val="00096C2A"/>
    <w:rsid w:val="00096D0D"/>
    <w:rsid w:val="00096DB8"/>
    <w:rsid w:val="00097046"/>
    <w:rsid w:val="000979C9"/>
    <w:rsid w:val="00097ABD"/>
    <w:rsid w:val="00097AF9"/>
    <w:rsid w:val="000A0036"/>
    <w:rsid w:val="000A0038"/>
    <w:rsid w:val="000A0076"/>
    <w:rsid w:val="000A0094"/>
    <w:rsid w:val="000A01CA"/>
    <w:rsid w:val="000A02ED"/>
    <w:rsid w:val="000A04D7"/>
    <w:rsid w:val="000A0923"/>
    <w:rsid w:val="000A092A"/>
    <w:rsid w:val="000A0A69"/>
    <w:rsid w:val="000A0CF9"/>
    <w:rsid w:val="000A0EED"/>
    <w:rsid w:val="000A10E7"/>
    <w:rsid w:val="000A112B"/>
    <w:rsid w:val="000A1176"/>
    <w:rsid w:val="000A12A7"/>
    <w:rsid w:val="000A16DD"/>
    <w:rsid w:val="000A18F6"/>
    <w:rsid w:val="000A1A72"/>
    <w:rsid w:val="000A1CA2"/>
    <w:rsid w:val="000A1E72"/>
    <w:rsid w:val="000A1F24"/>
    <w:rsid w:val="000A20BD"/>
    <w:rsid w:val="000A2D7A"/>
    <w:rsid w:val="000A3487"/>
    <w:rsid w:val="000A3661"/>
    <w:rsid w:val="000A39C9"/>
    <w:rsid w:val="000A3C33"/>
    <w:rsid w:val="000A3CDC"/>
    <w:rsid w:val="000A3E3E"/>
    <w:rsid w:val="000A3E9B"/>
    <w:rsid w:val="000A4004"/>
    <w:rsid w:val="000A41E5"/>
    <w:rsid w:val="000A49C1"/>
    <w:rsid w:val="000A4C28"/>
    <w:rsid w:val="000A4D1B"/>
    <w:rsid w:val="000A4EC4"/>
    <w:rsid w:val="000A5089"/>
    <w:rsid w:val="000A52F8"/>
    <w:rsid w:val="000A551C"/>
    <w:rsid w:val="000A5736"/>
    <w:rsid w:val="000A5D0E"/>
    <w:rsid w:val="000A652E"/>
    <w:rsid w:val="000A66CE"/>
    <w:rsid w:val="000A686F"/>
    <w:rsid w:val="000A6BE4"/>
    <w:rsid w:val="000A6C8B"/>
    <w:rsid w:val="000A6F81"/>
    <w:rsid w:val="000A6FA4"/>
    <w:rsid w:val="000A7376"/>
    <w:rsid w:val="000A7760"/>
    <w:rsid w:val="000A7896"/>
    <w:rsid w:val="000A7A1B"/>
    <w:rsid w:val="000A7BC8"/>
    <w:rsid w:val="000A7F07"/>
    <w:rsid w:val="000B0548"/>
    <w:rsid w:val="000B0882"/>
    <w:rsid w:val="000B0947"/>
    <w:rsid w:val="000B0B2A"/>
    <w:rsid w:val="000B0B72"/>
    <w:rsid w:val="000B0E4D"/>
    <w:rsid w:val="000B1284"/>
    <w:rsid w:val="000B13DF"/>
    <w:rsid w:val="000B1499"/>
    <w:rsid w:val="000B1611"/>
    <w:rsid w:val="000B1735"/>
    <w:rsid w:val="000B174C"/>
    <w:rsid w:val="000B182B"/>
    <w:rsid w:val="000B1B71"/>
    <w:rsid w:val="000B1C81"/>
    <w:rsid w:val="000B1D96"/>
    <w:rsid w:val="000B1F3B"/>
    <w:rsid w:val="000B2598"/>
    <w:rsid w:val="000B2C45"/>
    <w:rsid w:val="000B2D08"/>
    <w:rsid w:val="000B2EA7"/>
    <w:rsid w:val="000B2ED6"/>
    <w:rsid w:val="000B2EE2"/>
    <w:rsid w:val="000B2FA7"/>
    <w:rsid w:val="000B31D3"/>
    <w:rsid w:val="000B335D"/>
    <w:rsid w:val="000B38B2"/>
    <w:rsid w:val="000B38B4"/>
    <w:rsid w:val="000B3D85"/>
    <w:rsid w:val="000B4251"/>
    <w:rsid w:val="000B45D6"/>
    <w:rsid w:val="000B4B04"/>
    <w:rsid w:val="000B4E7E"/>
    <w:rsid w:val="000B537B"/>
    <w:rsid w:val="000B55F3"/>
    <w:rsid w:val="000B5A9C"/>
    <w:rsid w:val="000B5BD0"/>
    <w:rsid w:val="000B5D9E"/>
    <w:rsid w:val="000B614C"/>
    <w:rsid w:val="000B630A"/>
    <w:rsid w:val="000B667A"/>
    <w:rsid w:val="000B6680"/>
    <w:rsid w:val="000B69B8"/>
    <w:rsid w:val="000B6C7D"/>
    <w:rsid w:val="000B6F27"/>
    <w:rsid w:val="000B7483"/>
    <w:rsid w:val="000B7BCA"/>
    <w:rsid w:val="000B7BD4"/>
    <w:rsid w:val="000C01CF"/>
    <w:rsid w:val="000C029F"/>
    <w:rsid w:val="000C096F"/>
    <w:rsid w:val="000C0AAD"/>
    <w:rsid w:val="000C0C5A"/>
    <w:rsid w:val="000C141B"/>
    <w:rsid w:val="000C177A"/>
    <w:rsid w:val="000C17A3"/>
    <w:rsid w:val="000C1A77"/>
    <w:rsid w:val="000C1D2B"/>
    <w:rsid w:val="000C1D79"/>
    <w:rsid w:val="000C1F5C"/>
    <w:rsid w:val="000C201D"/>
    <w:rsid w:val="000C23E8"/>
    <w:rsid w:val="000C26D3"/>
    <w:rsid w:val="000C29FA"/>
    <w:rsid w:val="000C2A9D"/>
    <w:rsid w:val="000C3167"/>
    <w:rsid w:val="000C34E7"/>
    <w:rsid w:val="000C3501"/>
    <w:rsid w:val="000C35A0"/>
    <w:rsid w:val="000C3853"/>
    <w:rsid w:val="000C3CFE"/>
    <w:rsid w:val="000C3E33"/>
    <w:rsid w:val="000C3FE0"/>
    <w:rsid w:val="000C4182"/>
    <w:rsid w:val="000C4497"/>
    <w:rsid w:val="000C46B8"/>
    <w:rsid w:val="000C4D03"/>
    <w:rsid w:val="000C4EF8"/>
    <w:rsid w:val="000C5049"/>
    <w:rsid w:val="000C52F5"/>
    <w:rsid w:val="000C53F3"/>
    <w:rsid w:val="000C5497"/>
    <w:rsid w:val="000C549E"/>
    <w:rsid w:val="000C589F"/>
    <w:rsid w:val="000C597A"/>
    <w:rsid w:val="000C5F63"/>
    <w:rsid w:val="000C6064"/>
    <w:rsid w:val="000C64E1"/>
    <w:rsid w:val="000C6E38"/>
    <w:rsid w:val="000C6ED6"/>
    <w:rsid w:val="000C7220"/>
    <w:rsid w:val="000C73F5"/>
    <w:rsid w:val="000C782E"/>
    <w:rsid w:val="000C7AC6"/>
    <w:rsid w:val="000C7B0C"/>
    <w:rsid w:val="000C7CF9"/>
    <w:rsid w:val="000C7EA2"/>
    <w:rsid w:val="000D05FA"/>
    <w:rsid w:val="000D0809"/>
    <w:rsid w:val="000D08B3"/>
    <w:rsid w:val="000D0906"/>
    <w:rsid w:val="000D097A"/>
    <w:rsid w:val="000D0A53"/>
    <w:rsid w:val="000D0B18"/>
    <w:rsid w:val="000D0C0C"/>
    <w:rsid w:val="000D11FE"/>
    <w:rsid w:val="000D1730"/>
    <w:rsid w:val="000D18F9"/>
    <w:rsid w:val="000D1A97"/>
    <w:rsid w:val="000D1AD0"/>
    <w:rsid w:val="000D1C56"/>
    <w:rsid w:val="000D2195"/>
    <w:rsid w:val="000D219A"/>
    <w:rsid w:val="000D21CD"/>
    <w:rsid w:val="000D2204"/>
    <w:rsid w:val="000D24D4"/>
    <w:rsid w:val="000D267B"/>
    <w:rsid w:val="000D27BE"/>
    <w:rsid w:val="000D28B4"/>
    <w:rsid w:val="000D29D2"/>
    <w:rsid w:val="000D2B6F"/>
    <w:rsid w:val="000D2C3F"/>
    <w:rsid w:val="000D2CAA"/>
    <w:rsid w:val="000D2DD0"/>
    <w:rsid w:val="000D2F97"/>
    <w:rsid w:val="000D3322"/>
    <w:rsid w:val="000D3474"/>
    <w:rsid w:val="000D36FB"/>
    <w:rsid w:val="000D37E9"/>
    <w:rsid w:val="000D38E6"/>
    <w:rsid w:val="000D38FE"/>
    <w:rsid w:val="000D39B3"/>
    <w:rsid w:val="000D3F56"/>
    <w:rsid w:val="000D4103"/>
    <w:rsid w:val="000D4386"/>
    <w:rsid w:val="000D46A1"/>
    <w:rsid w:val="000D4724"/>
    <w:rsid w:val="000D49A6"/>
    <w:rsid w:val="000D49F9"/>
    <w:rsid w:val="000D4A27"/>
    <w:rsid w:val="000D4BFA"/>
    <w:rsid w:val="000D4C23"/>
    <w:rsid w:val="000D4D2D"/>
    <w:rsid w:val="000D504E"/>
    <w:rsid w:val="000D522C"/>
    <w:rsid w:val="000D525A"/>
    <w:rsid w:val="000D5592"/>
    <w:rsid w:val="000D5623"/>
    <w:rsid w:val="000D563E"/>
    <w:rsid w:val="000D571E"/>
    <w:rsid w:val="000D5938"/>
    <w:rsid w:val="000D5A77"/>
    <w:rsid w:val="000D5AE5"/>
    <w:rsid w:val="000D5D86"/>
    <w:rsid w:val="000D62A0"/>
    <w:rsid w:val="000D65A6"/>
    <w:rsid w:val="000D68B1"/>
    <w:rsid w:val="000D6D43"/>
    <w:rsid w:val="000D6DCF"/>
    <w:rsid w:val="000D6F16"/>
    <w:rsid w:val="000D6FD4"/>
    <w:rsid w:val="000D7391"/>
    <w:rsid w:val="000D74D3"/>
    <w:rsid w:val="000D7B4C"/>
    <w:rsid w:val="000D7F1F"/>
    <w:rsid w:val="000E02F5"/>
    <w:rsid w:val="000E0660"/>
    <w:rsid w:val="000E0736"/>
    <w:rsid w:val="000E0DC3"/>
    <w:rsid w:val="000E0F63"/>
    <w:rsid w:val="000E100D"/>
    <w:rsid w:val="000E1B9B"/>
    <w:rsid w:val="000E1CF2"/>
    <w:rsid w:val="000E234D"/>
    <w:rsid w:val="000E2355"/>
    <w:rsid w:val="000E2B25"/>
    <w:rsid w:val="000E2FF1"/>
    <w:rsid w:val="000E3028"/>
    <w:rsid w:val="000E310E"/>
    <w:rsid w:val="000E31A5"/>
    <w:rsid w:val="000E32C4"/>
    <w:rsid w:val="000E3935"/>
    <w:rsid w:val="000E3D66"/>
    <w:rsid w:val="000E41BB"/>
    <w:rsid w:val="000E41D9"/>
    <w:rsid w:val="000E45B7"/>
    <w:rsid w:val="000E51DB"/>
    <w:rsid w:val="000E5520"/>
    <w:rsid w:val="000E55AC"/>
    <w:rsid w:val="000E55D4"/>
    <w:rsid w:val="000E5D8A"/>
    <w:rsid w:val="000E5F9D"/>
    <w:rsid w:val="000E5FF3"/>
    <w:rsid w:val="000E6043"/>
    <w:rsid w:val="000E6459"/>
    <w:rsid w:val="000E65C2"/>
    <w:rsid w:val="000E6850"/>
    <w:rsid w:val="000E7A21"/>
    <w:rsid w:val="000E7E4B"/>
    <w:rsid w:val="000E7F8A"/>
    <w:rsid w:val="000E7FB7"/>
    <w:rsid w:val="000E7FE9"/>
    <w:rsid w:val="000F0EDA"/>
    <w:rsid w:val="000F184F"/>
    <w:rsid w:val="000F1AD5"/>
    <w:rsid w:val="000F1B64"/>
    <w:rsid w:val="000F1D06"/>
    <w:rsid w:val="000F1D7A"/>
    <w:rsid w:val="000F25E7"/>
    <w:rsid w:val="000F268E"/>
    <w:rsid w:val="000F2922"/>
    <w:rsid w:val="000F2C34"/>
    <w:rsid w:val="000F2CDF"/>
    <w:rsid w:val="000F3017"/>
    <w:rsid w:val="000F309F"/>
    <w:rsid w:val="000F3313"/>
    <w:rsid w:val="000F36BA"/>
    <w:rsid w:val="000F37E4"/>
    <w:rsid w:val="000F3AD3"/>
    <w:rsid w:val="000F3F16"/>
    <w:rsid w:val="000F4167"/>
    <w:rsid w:val="000F426B"/>
    <w:rsid w:val="000F4514"/>
    <w:rsid w:val="000F4636"/>
    <w:rsid w:val="000F4835"/>
    <w:rsid w:val="000F4843"/>
    <w:rsid w:val="000F4E22"/>
    <w:rsid w:val="000F4E74"/>
    <w:rsid w:val="000F52D2"/>
    <w:rsid w:val="000F550F"/>
    <w:rsid w:val="000F57A9"/>
    <w:rsid w:val="000F5C2C"/>
    <w:rsid w:val="000F5D10"/>
    <w:rsid w:val="000F5E91"/>
    <w:rsid w:val="000F650B"/>
    <w:rsid w:val="000F6717"/>
    <w:rsid w:val="000F68AF"/>
    <w:rsid w:val="000F69EE"/>
    <w:rsid w:val="000F7077"/>
    <w:rsid w:val="000F7083"/>
    <w:rsid w:val="000F70A3"/>
    <w:rsid w:val="000F7647"/>
    <w:rsid w:val="000F7A9C"/>
    <w:rsid w:val="000F7AAE"/>
    <w:rsid w:val="000F7ACF"/>
    <w:rsid w:val="000F7F19"/>
    <w:rsid w:val="00100220"/>
    <w:rsid w:val="001002A6"/>
    <w:rsid w:val="0010057E"/>
    <w:rsid w:val="0010071A"/>
    <w:rsid w:val="001008DF"/>
    <w:rsid w:val="00100BCB"/>
    <w:rsid w:val="00100D5B"/>
    <w:rsid w:val="00100FA7"/>
    <w:rsid w:val="00101241"/>
    <w:rsid w:val="001014F5"/>
    <w:rsid w:val="00101509"/>
    <w:rsid w:val="00101BE6"/>
    <w:rsid w:val="0010210D"/>
    <w:rsid w:val="00102415"/>
    <w:rsid w:val="00102613"/>
    <w:rsid w:val="0010286A"/>
    <w:rsid w:val="001029BB"/>
    <w:rsid w:val="00102CAA"/>
    <w:rsid w:val="00102E27"/>
    <w:rsid w:val="00102E5D"/>
    <w:rsid w:val="00103060"/>
    <w:rsid w:val="0010333F"/>
    <w:rsid w:val="00103766"/>
    <w:rsid w:val="00103881"/>
    <w:rsid w:val="00103ABB"/>
    <w:rsid w:val="00104151"/>
    <w:rsid w:val="0010430A"/>
    <w:rsid w:val="001043B6"/>
    <w:rsid w:val="00104A3C"/>
    <w:rsid w:val="00104CF4"/>
    <w:rsid w:val="00104DE5"/>
    <w:rsid w:val="001055A7"/>
    <w:rsid w:val="001058DB"/>
    <w:rsid w:val="00105B33"/>
    <w:rsid w:val="00105B9D"/>
    <w:rsid w:val="00105BD4"/>
    <w:rsid w:val="00105D62"/>
    <w:rsid w:val="00105D84"/>
    <w:rsid w:val="00105DEA"/>
    <w:rsid w:val="00105FCC"/>
    <w:rsid w:val="00106079"/>
    <w:rsid w:val="0010657E"/>
    <w:rsid w:val="001068B8"/>
    <w:rsid w:val="00106A9B"/>
    <w:rsid w:val="00106BBB"/>
    <w:rsid w:val="00106BFB"/>
    <w:rsid w:val="00106D3E"/>
    <w:rsid w:val="00106F37"/>
    <w:rsid w:val="001076DC"/>
    <w:rsid w:val="001077E7"/>
    <w:rsid w:val="001078CE"/>
    <w:rsid w:val="00107908"/>
    <w:rsid w:val="00110314"/>
    <w:rsid w:val="0011034E"/>
    <w:rsid w:val="001105B9"/>
    <w:rsid w:val="00110690"/>
    <w:rsid w:val="0011081A"/>
    <w:rsid w:val="001109AD"/>
    <w:rsid w:val="00110B06"/>
    <w:rsid w:val="00111674"/>
    <w:rsid w:val="001118CB"/>
    <w:rsid w:val="00111951"/>
    <w:rsid w:val="00111AB9"/>
    <w:rsid w:val="00111C2D"/>
    <w:rsid w:val="00111CD2"/>
    <w:rsid w:val="00111D93"/>
    <w:rsid w:val="00112069"/>
    <w:rsid w:val="001125E9"/>
    <w:rsid w:val="001125F6"/>
    <w:rsid w:val="00112A47"/>
    <w:rsid w:val="0011320F"/>
    <w:rsid w:val="0011324D"/>
    <w:rsid w:val="00113604"/>
    <w:rsid w:val="001139B4"/>
    <w:rsid w:val="001139E5"/>
    <w:rsid w:val="00113DFB"/>
    <w:rsid w:val="00113FE3"/>
    <w:rsid w:val="00114197"/>
    <w:rsid w:val="001141A5"/>
    <w:rsid w:val="001143C7"/>
    <w:rsid w:val="00114629"/>
    <w:rsid w:val="00114AF5"/>
    <w:rsid w:val="00114EAE"/>
    <w:rsid w:val="00115671"/>
    <w:rsid w:val="00115812"/>
    <w:rsid w:val="00115C89"/>
    <w:rsid w:val="00115F6E"/>
    <w:rsid w:val="001164CA"/>
    <w:rsid w:val="0011650E"/>
    <w:rsid w:val="001167B7"/>
    <w:rsid w:val="001167F8"/>
    <w:rsid w:val="00116A43"/>
    <w:rsid w:val="00116AB3"/>
    <w:rsid w:val="00116BB7"/>
    <w:rsid w:val="00116E7E"/>
    <w:rsid w:val="00116F4D"/>
    <w:rsid w:val="00117180"/>
    <w:rsid w:val="00117282"/>
    <w:rsid w:val="001174E3"/>
    <w:rsid w:val="00117811"/>
    <w:rsid w:val="00117981"/>
    <w:rsid w:val="00117A41"/>
    <w:rsid w:val="00120379"/>
    <w:rsid w:val="001205CF"/>
    <w:rsid w:val="00120726"/>
    <w:rsid w:val="001207E9"/>
    <w:rsid w:val="00120C06"/>
    <w:rsid w:val="00120C20"/>
    <w:rsid w:val="001214DD"/>
    <w:rsid w:val="001219AE"/>
    <w:rsid w:val="00121A12"/>
    <w:rsid w:val="00121BDB"/>
    <w:rsid w:val="00121F50"/>
    <w:rsid w:val="00121F6F"/>
    <w:rsid w:val="001222BD"/>
    <w:rsid w:val="00122492"/>
    <w:rsid w:val="001224A5"/>
    <w:rsid w:val="00122A3C"/>
    <w:rsid w:val="00122BCF"/>
    <w:rsid w:val="00122FC9"/>
    <w:rsid w:val="0012326D"/>
    <w:rsid w:val="0012343A"/>
    <w:rsid w:val="00123500"/>
    <w:rsid w:val="00123738"/>
    <w:rsid w:val="00123755"/>
    <w:rsid w:val="00123918"/>
    <w:rsid w:val="00123B2F"/>
    <w:rsid w:val="00123D82"/>
    <w:rsid w:val="00123E43"/>
    <w:rsid w:val="00123E56"/>
    <w:rsid w:val="001240EC"/>
    <w:rsid w:val="0012458B"/>
    <w:rsid w:val="0012488A"/>
    <w:rsid w:val="001248B7"/>
    <w:rsid w:val="00124A97"/>
    <w:rsid w:val="00124E20"/>
    <w:rsid w:val="00124E9F"/>
    <w:rsid w:val="00125102"/>
    <w:rsid w:val="001252AA"/>
    <w:rsid w:val="001252EE"/>
    <w:rsid w:val="00125772"/>
    <w:rsid w:val="00125B4F"/>
    <w:rsid w:val="00125BB8"/>
    <w:rsid w:val="00125C69"/>
    <w:rsid w:val="00125DBD"/>
    <w:rsid w:val="001260CB"/>
    <w:rsid w:val="001263FD"/>
    <w:rsid w:val="0012677A"/>
    <w:rsid w:val="001269F9"/>
    <w:rsid w:val="00126B54"/>
    <w:rsid w:val="0012703B"/>
    <w:rsid w:val="00127235"/>
    <w:rsid w:val="001279D6"/>
    <w:rsid w:val="00127AA6"/>
    <w:rsid w:val="00127E08"/>
    <w:rsid w:val="00127E9C"/>
    <w:rsid w:val="001302D0"/>
    <w:rsid w:val="00130528"/>
    <w:rsid w:val="001306A4"/>
    <w:rsid w:val="0013075A"/>
    <w:rsid w:val="001308D7"/>
    <w:rsid w:val="00130CB6"/>
    <w:rsid w:val="00130DB4"/>
    <w:rsid w:val="00130E55"/>
    <w:rsid w:val="00131013"/>
    <w:rsid w:val="001310ED"/>
    <w:rsid w:val="001310F7"/>
    <w:rsid w:val="0013151A"/>
    <w:rsid w:val="0013179E"/>
    <w:rsid w:val="001318A9"/>
    <w:rsid w:val="00131BA0"/>
    <w:rsid w:val="001320E6"/>
    <w:rsid w:val="00132234"/>
    <w:rsid w:val="00132281"/>
    <w:rsid w:val="00132420"/>
    <w:rsid w:val="00132450"/>
    <w:rsid w:val="0013248A"/>
    <w:rsid w:val="001326EC"/>
    <w:rsid w:val="001328DB"/>
    <w:rsid w:val="00132F55"/>
    <w:rsid w:val="0013337F"/>
    <w:rsid w:val="00133B77"/>
    <w:rsid w:val="00133C9A"/>
    <w:rsid w:val="00133DD3"/>
    <w:rsid w:val="00134439"/>
    <w:rsid w:val="0013448C"/>
    <w:rsid w:val="00134C98"/>
    <w:rsid w:val="00134CB0"/>
    <w:rsid w:val="00134D69"/>
    <w:rsid w:val="00135139"/>
    <w:rsid w:val="001352AE"/>
    <w:rsid w:val="001369E6"/>
    <w:rsid w:val="00136AED"/>
    <w:rsid w:val="00136C57"/>
    <w:rsid w:val="001370A9"/>
    <w:rsid w:val="0013725C"/>
    <w:rsid w:val="001374AE"/>
    <w:rsid w:val="00137624"/>
    <w:rsid w:val="00137768"/>
    <w:rsid w:val="00137B2F"/>
    <w:rsid w:val="00137BD5"/>
    <w:rsid w:val="00137BD9"/>
    <w:rsid w:val="00137C62"/>
    <w:rsid w:val="00140367"/>
    <w:rsid w:val="001408FD"/>
    <w:rsid w:val="00140C9C"/>
    <w:rsid w:val="00140E43"/>
    <w:rsid w:val="00140FDA"/>
    <w:rsid w:val="0014117F"/>
    <w:rsid w:val="00141658"/>
    <w:rsid w:val="00141662"/>
    <w:rsid w:val="00141A1D"/>
    <w:rsid w:val="00141AFE"/>
    <w:rsid w:val="00141C22"/>
    <w:rsid w:val="00141C71"/>
    <w:rsid w:val="00141C93"/>
    <w:rsid w:val="00141FF2"/>
    <w:rsid w:val="0014218B"/>
    <w:rsid w:val="00142354"/>
    <w:rsid w:val="0014267C"/>
    <w:rsid w:val="00142912"/>
    <w:rsid w:val="00142A44"/>
    <w:rsid w:val="00142BF1"/>
    <w:rsid w:val="00142C05"/>
    <w:rsid w:val="00143032"/>
    <w:rsid w:val="001431B8"/>
    <w:rsid w:val="0014321F"/>
    <w:rsid w:val="00143225"/>
    <w:rsid w:val="00143397"/>
    <w:rsid w:val="00143B9A"/>
    <w:rsid w:val="00143D28"/>
    <w:rsid w:val="0014423A"/>
    <w:rsid w:val="0014438F"/>
    <w:rsid w:val="001443A9"/>
    <w:rsid w:val="001444C0"/>
    <w:rsid w:val="001445A4"/>
    <w:rsid w:val="001449BD"/>
    <w:rsid w:val="00144CB4"/>
    <w:rsid w:val="0014506E"/>
    <w:rsid w:val="00145084"/>
    <w:rsid w:val="00145268"/>
    <w:rsid w:val="00145279"/>
    <w:rsid w:val="00145454"/>
    <w:rsid w:val="001456A5"/>
    <w:rsid w:val="00145912"/>
    <w:rsid w:val="00145923"/>
    <w:rsid w:val="00145CE9"/>
    <w:rsid w:val="001460A9"/>
    <w:rsid w:val="001462D1"/>
    <w:rsid w:val="001466FB"/>
    <w:rsid w:val="00146B93"/>
    <w:rsid w:val="001472B0"/>
    <w:rsid w:val="001473DE"/>
    <w:rsid w:val="00147570"/>
    <w:rsid w:val="00147B6E"/>
    <w:rsid w:val="00147C34"/>
    <w:rsid w:val="00147CD5"/>
    <w:rsid w:val="00147DD6"/>
    <w:rsid w:val="00150060"/>
    <w:rsid w:val="001502FA"/>
    <w:rsid w:val="0015091D"/>
    <w:rsid w:val="00150ACF"/>
    <w:rsid w:val="00150C93"/>
    <w:rsid w:val="00151444"/>
    <w:rsid w:val="00151DE9"/>
    <w:rsid w:val="00151E92"/>
    <w:rsid w:val="00151E9F"/>
    <w:rsid w:val="00151FD1"/>
    <w:rsid w:val="001521A8"/>
    <w:rsid w:val="00152553"/>
    <w:rsid w:val="00152A3B"/>
    <w:rsid w:val="00153345"/>
    <w:rsid w:val="0015344B"/>
    <w:rsid w:val="00153753"/>
    <w:rsid w:val="0015380A"/>
    <w:rsid w:val="00153BC4"/>
    <w:rsid w:val="00153C03"/>
    <w:rsid w:val="00153CBB"/>
    <w:rsid w:val="00153CFB"/>
    <w:rsid w:val="00153DB9"/>
    <w:rsid w:val="00153F9D"/>
    <w:rsid w:val="00153FEB"/>
    <w:rsid w:val="0015415B"/>
    <w:rsid w:val="001546A2"/>
    <w:rsid w:val="00154846"/>
    <w:rsid w:val="0015493F"/>
    <w:rsid w:val="001549A2"/>
    <w:rsid w:val="00154B92"/>
    <w:rsid w:val="00154D17"/>
    <w:rsid w:val="00154F51"/>
    <w:rsid w:val="0015596B"/>
    <w:rsid w:val="00155BAC"/>
    <w:rsid w:val="00156011"/>
    <w:rsid w:val="0015608C"/>
    <w:rsid w:val="00156298"/>
    <w:rsid w:val="001563A8"/>
    <w:rsid w:val="0015685F"/>
    <w:rsid w:val="00156D31"/>
    <w:rsid w:val="00156FF3"/>
    <w:rsid w:val="00156FF7"/>
    <w:rsid w:val="00157007"/>
    <w:rsid w:val="0015713D"/>
    <w:rsid w:val="001572D9"/>
    <w:rsid w:val="00157402"/>
    <w:rsid w:val="00157471"/>
    <w:rsid w:val="001575AF"/>
    <w:rsid w:val="00157AA1"/>
    <w:rsid w:val="00157B32"/>
    <w:rsid w:val="00157D46"/>
    <w:rsid w:val="00157D73"/>
    <w:rsid w:val="0016068D"/>
    <w:rsid w:val="0016084E"/>
    <w:rsid w:val="00160CC9"/>
    <w:rsid w:val="00160DC3"/>
    <w:rsid w:val="00160EA8"/>
    <w:rsid w:val="00161343"/>
    <w:rsid w:val="00161B67"/>
    <w:rsid w:val="00161C79"/>
    <w:rsid w:val="00161EC1"/>
    <w:rsid w:val="00161FAD"/>
    <w:rsid w:val="00162114"/>
    <w:rsid w:val="001622B2"/>
    <w:rsid w:val="001625ED"/>
    <w:rsid w:val="001626A1"/>
    <w:rsid w:val="00162D6A"/>
    <w:rsid w:val="00162FD0"/>
    <w:rsid w:val="00163123"/>
    <w:rsid w:val="00163435"/>
    <w:rsid w:val="00163994"/>
    <w:rsid w:val="00163A0E"/>
    <w:rsid w:val="00163B6C"/>
    <w:rsid w:val="00164127"/>
    <w:rsid w:val="001641E2"/>
    <w:rsid w:val="0016506F"/>
    <w:rsid w:val="00165242"/>
    <w:rsid w:val="001652E8"/>
    <w:rsid w:val="001655DA"/>
    <w:rsid w:val="001656A1"/>
    <w:rsid w:val="00165752"/>
    <w:rsid w:val="00166052"/>
    <w:rsid w:val="001660B3"/>
    <w:rsid w:val="0016616E"/>
    <w:rsid w:val="001664C8"/>
    <w:rsid w:val="0016695D"/>
    <w:rsid w:val="00166C95"/>
    <w:rsid w:val="00166F96"/>
    <w:rsid w:val="0016725B"/>
    <w:rsid w:val="00167467"/>
    <w:rsid w:val="00167840"/>
    <w:rsid w:val="00167FD2"/>
    <w:rsid w:val="00170084"/>
    <w:rsid w:val="001709E1"/>
    <w:rsid w:val="00170C51"/>
    <w:rsid w:val="00170F05"/>
    <w:rsid w:val="00170F29"/>
    <w:rsid w:val="0017179E"/>
    <w:rsid w:val="00171834"/>
    <w:rsid w:val="00171C31"/>
    <w:rsid w:val="00171D82"/>
    <w:rsid w:val="00172277"/>
    <w:rsid w:val="0017242E"/>
    <w:rsid w:val="0017268A"/>
    <w:rsid w:val="001727B2"/>
    <w:rsid w:val="001727C4"/>
    <w:rsid w:val="001728A0"/>
    <w:rsid w:val="00172A03"/>
    <w:rsid w:val="00172D9A"/>
    <w:rsid w:val="00172FF3"/>
    <w:rsid w:val="0017331D"/>
    <w:rsid w:val="001735AF"/>
    <w:rsid w:val="00173927"/>
    <w:rsid w:val="00173A80"/>
    <w:rsid w:val="00173F8F"/>
    <w:rsid w:val="00174059"/>
    <w:rsid w:val="001740C2"/>
    <w:rsid w:val="00174230"/>
    <w:rsid w:val="001743D5"/>
    <w:rsid w:val="0017462F"/>
    <w:rsid w:val="001749FD"/>
    <w:rsid w:val="00174B6D"/>
    <w:rsid w:val="00174E17"/>
    <w:rsid w:val="0017551B"/>
    <w:rsid w:val="00175A53"/>
    <w:rsid w:val="00175D1A"/>
    <w:rsid w:val="00175E6F"/>
    <w:rsid w:val="00176472"/>
    <w:rsid w:val="00176819"/>
    <w:rsid w:val="00176AD4"/>
    <w:rsid w:val="00176CA7"/>
    <w:rsid w:val="001770AC"/>
    <w:rsid w:val="0017729F"/>
    <w:rsid w:val="0017780F"/>
    <w:rsid w:val="00177962"/>
    <w:rsid w:val="0017796E"/>
    <w:rsid w:val="001779D7"/>
    <w:rsid w:val="00177B4D"/>
    <w:rsid w:val="00177D76"/>
    <w:rsid w:val="00177DBE"/>
    <w:rsid w:val="00177E36"/>
    <w:rsid w:val="001801C2"/>
    <w:rsid w:val="00180384"/>
    <w:rsid w:val="0018049D"/>
    <w:rsid w:val="00180524"/>
    <w:rsid w:val="00180634"/>
    <w:rsid w:val="00180709"/>
    <w:rsid w:val="00180AAE"/>
    <w:rsid w:val="00180EEB"/>
    <w:rsid w:val="00180F09"/>
    <w:rsid w:val="00181433"/>
    <w:rsid w:val="0018171F"/>
    <w:rsid w:val="00181F5D"/>
    <w:rsid w:val="001820F2"/>
    <w:rsid w:val="00182251"/>
    <w:rsid w:val="00182353"/>
    <w:rsid w:val="001823E8"/>
    <w:rsid w:val="00182724"/>
    <w:rsid w:val="001827FF"/>
    <w:rsid w:val="0018287C"/>
    <w:rsid w:val="00182BE6"/>
    <w:rsid w:val="00182C23"/>
    <w:rsid w:val="001832FB"/>
    <w:rsid w:val="0018343A"/>
    <w:rsid w:val="0018348B"/>
    <w:rsid w:val="001835BE"/>
    <w:rsid w:val="001838CA"/>
    <w:rsid w:val="00183972"/>
    <w:rsid w:val="00183B1A"/>
    <w:rsid w:val="00183B51"/>
    <w:rsid w:val="001840AD"/>
    <w:rsid w:val="001845E7"/>
    <w:rsid w:val="0018468E"/>
    <w:rsid w:val="00184713"/>
    <w:rsid w:val="0018492B"/>
    <w:rsid w:val="00185023"/>
    <w:rsid w:val="001852BB"/>
    <w:rsid w:val="00185558"/>
    <w:rsid w:val="001857B6"/>
    <w:rsid w:val="00185A7B"/>
    <w:rsid w:val="001862C3"/>
    <w:rsid w:val="00186581"/>
    <w:rsid w:val="0018680E"/>
    <w:rsid w:val="001869C7"/>
    <w:rsid w:val="00186B3C"/>
    <w:rsid w:val="00186C45"/>
    <w:rsid w:val="00186D76"/>
    <w:rsid w:val="00186D88"/>
    <w:rsid w:val="0018728D"/>
    <w:rsid w:val="00187338"/>
    <w:rsid w:val="0018754D"/>
    <w:rsid w:val="00187B1C"/>
    <w:rsid w:val="00187E63"/>
    <w:rsid w:val="00187E86"/>
    <w:rsid w:val="00187F6E"/>
    <w:rsid w:val="00190815"/>
    <w:rsid w:val="0019084E"/>
    <w:rsid w:val="00190D04"/>
    <w:rsid w:val="00190DA9"/>
    <w:rsid w:val="00191137"/>
    <w:rsid w:val="00191655"/>
    <w:rsid w:val="0019165A"/>
    <w:rsid w:val="00191934"/>
    <w:rsid w:val="00191F94"/>
    <w:rsid w:val="001922FD"/>
    <w:rsid w:val="001926BD"/>
    <w:rsid w:val="00192783"/>
    <w:rsid w:val="00192830"/>
    <w:rsid w:val="001933E5"/>
    <w:rsid w:val="0019346D"/>
    <w:rsid w:val="00193661"/>
    <w:rsid w:val="00193714"/>
    <w:rsid w:val="00193914"/>
    <w:rsid w:val="00193CFF"/>
    <w:rsid w:val="00194010"/>
    <w:rsid w:val="00194185"/>
    <w:rsid w:val="001941EA"/>
    <w:rsid w:val="00194301"/>
    <w:rsid w:val="00194354"/>
    <w:rsid w:val="00194776"/>
    <w:rsid w:val="00194A41"/>
    <w:rsid w:val="00194A68"/>
    <w:rsid w:val="00194D2D"/>
    <w:rsid w:val="00194F38"/>
    <w:rsid w:val="00195160"/>
    <w:rsid w:val="001953AB"/>
    <w:rsid w:val="00195604"/>
    <w:rsid w:val="00196199"/>
    <w:rsid w:val="0019620E"/>
    <w:rsid w:val="00196359"/>
    <w:rsid w:val="001972D8"/>
    <w:rsid w:val="0019746E"/>
    <w:rsid w:val="0019780C"/>
    <w:rsid w:val="00197D48"/>
    <w:rsid w:val="00197DE8"/>
    <w:rsid w:val="001A0141"/>
    <w:rsid w:val="001A0344"/>
    <w:rsid w:val="001A0345"/>
    <w:rsid w:val="001A0379"/>
    <w:rsid w:val="001A03FE"/>
    <w:rsid w:val="001A04F6"/>
    <w:rsid w:val="001A0549"/>
    <w:rsid w:val="001A0829"/>
    <w:rsid w:val="001A0854"/>
    <w:rsid w:val="001A12AA"/>
    <w:rsid w:val="001A130E"/>
    <w:rsid w:val="001A13AF"/>
    <w:rsid w:val="001A13DF"/>
    <w:rsid w:val="001A1484"/>
    <w:rsid w:val="001A14CD"/>
    <w:rsid w:val="001A16B8"/>
    <w:rsid w:val="001A194C"/>
    <w:rsid w:val="001A1B30"/>
    <w:rsid w:val="001A1F30"/>
    <w:rsid w:val="001A2006"/>
    <w:rsid w:val="001A2367"/>
    <w:rsid w:val="001A2387"/>
    <w:rsid w:val="001A25FA"/>
    <w:rsid w:val="001A267A"/>
    <w:rsid w:val="001A2A2C"/>
    <w:rsid w:val="001A2BCD"/>
    <w:rsid w:val="001A309F"/>
    <w:rsid w:val="001A30C5"/>
    <w:rsid w:val="001A34D0"/>
    <w:rsid w:val="001A35FD"/>
    <w:rsid w:val="001A3617"/>
    <w:rsid w:val="001A361D"/>
    <w:rsid w:val="001A3BE9"/>
    <w:rsid w:val="001A3E9E"/>
    <w:rsid w:val="001A4092"/>
    <w:rsid w:val="001A41E5"/>
    <w:rsid w:val="001A420C"/>
    <w:rsid w:val="001A44BD"/>
    <w:rsid w:val="001A454E"/>
    <w:rsid w:val="001A497F"/>
    <w:rsid w:val="001A5042"/>
    <w:rsid w:val="001A52A5"/>
    <w:rsid w:val="001A537A"/>
    <w:rsid w:val="001A544D"/>
    <w:rsid w:val="001A549D"/>
    <w:rsid w:val="001A54B5"/>
    <w:rsid w:val="001A57F9"/>
    <w:rsid w:val="001A58A4"/>
    <w:rsid w:val="001A59C6"/>
    <w:rsid w:val="001A5EFE"/>
    <w:rsid w:val="001A637F"/>
    <w:rsid w:val="001A68A5"/>
    <w:rsid w:val="001A6C1C"/>
    <w:rsid w:val="001A6E33"/>
    <w:rsid w:val="001A741C"/>
    <w:rsid w:val="001A748E"/>
    <w:rsid w:val="001A7CA4"/>
    <w:rsid w:val="001A7F0D"/>
    <w:rsid w:val="001A7F1B"/>
    <w:rsid w:val="001B06A3"/>
    <w:rsid w:val="001B0AB7"/>
    <w:rsid w:val="001B0CCF"/>
    <w:rsid w:val="001B0E03"/>
    <w:rsid w:val="001B0F91"/>
    <w:rsid w:val="001B1CF2"/>
    <w:rsid w:val="001B1E06"/>
    <w:rsid w:val="001B2024"/>
    <w:rsid w:val="001B218E"/>
    <w:rsid w:val="001B25FD"/>
    <w:rsid w:val="001B2786"/>
    <w:rsid w:val="001B27B0"/>
    <w:rsid w:val="001B2D59"/>
    <w:rsid w:val="001B2DAC"/>
    <w:rsid w:val="001B2E2D"/>
    <w:rsid w:val="001B3795"/>
    <w:rsid w:val="001B3A35"/>
    <w:rsid w:val="001B3AA1"/>
    <w:rsid w:val="001B3BDD"/>
    <w:rsid w:val="001B40EB"/>
    <w:rsid w:val="001B42BF"/>
    <w:rsid w:val="001B432E"/>
    <w:rsid w:val="001B4531"/>
    <w:rsid w:val="001B4686"/>
    <w:rsid w:val="001B46D2"/>
    <w:rsid w:val="001B4853"/>
    <w:rsid w:val="001B4A2D"/>
    <w:rsid w:val="001B4AB7"/>
    <w:rsid w:val="001B4FEB"/>
    <w:rsid w:val="001B5036"/>
    <w:rsid w:val="001B5243"/>
    <w:rsid w:val="001B5F31"/>
    <w:rsid w:val="001B6098"/>
    <w:rsid w:val="001B6BA5"/>
    <w:rsid w:val="001B6C43"/>
    <w:rsid w:val="001B6F0B"/>
    <w:rsid w:val="001B70E8"/>
    <w:rsid w:val="001B733C"/>
    <w:rsid w:val="001B77CD"/>
    <w:rsid w:val="001B7985"/>
    <w:rsid w:val="001B79BA"/>
    <w:rsid w:val="001B7A11"/>
    <w:rsid w:val="001C0765"/>
    <w:rsid w:val="001C0E75"/>
    <w:rsid w:val="001C0ED4"/>
    <w:rsid w:val="001C1233"/>
    <w:rsid w:val="001C12A4"/>
    <w:rsid w:val="001C12F9"/>
    <w:rsid w:val="001C14C4"/>
    <w:rsid w:val="001C28D8"/>
    <w:rsid w:val="001C33FB"/>
    <w:rsid w:val="001C3423"/>
    <w:rsid w:val="001C352E"/>
    <w:rsid w:val="001C39D4"/>
    <w:rsid w:val="001C3B15"/>
    <w:rsid w:val="001C3DB3"/>
    <w:rsid w:val="001C3DC8"/>
    <w:rsid w:val="001C40CF"/>
    <w:rsid w:val="001C418E"/>
    <w:rsid w:val="001C41E7"/>
    <w:rsid w:val="001C49D3"/>
    <w:rsid w:val="001C4FBB"/>
    <w:rsid w:val="001C5239"/>
    <w:rsid w:val="001C56C1"/>
    <w:rsid w:val="001C5832"/>
    <w:rsid w:val="001C58DA"/>
    <w:rsid w:val="001C59D0"/>
    <w:rsid w:val="001C5B00"/>
    <w:rsid w:val="001C5B47"/>
    <w:rsid w:val="001C5DED"/>
    <w:rsid w:val="001C6099"/>
    <w:rsid w:val="001C66A7"/>
    <w:rsid w:val="001C6752"/>
    <w:rsid w:val="001C6B50"/>
    <w:rsid w:val="001C6BE4"/>
    <w:rsid w:val="001C6DBC"/>
    <w:rsid w:val="001C6FE6"/>
    <w:rsid w:val="001C719C"/>
    <w:rsid w:val="001C753F"/>
    <w:rsid w:val="001C75DB"/>
    <w:rsid w:val="001C764E"/>
    <w:rsid w:val="001C7989"/>
    <w:rsid w:val="001C7A51"/>
    <w:rsid w:val="001C7D51"/>
    <w:rsid w:val="001C7DF2"/>
    <w:rsid w:val="001C7F0B"/>
    <w:rsid w:val="001D0156"/>
    <w:rsid w:val="001D0203"/>
    <w:rsid w:val="001D037D"/>
    <w:rsid w:val="001D0489"/>
    <w:rsid w:val="001D0961"/>
    <w:rsid w:val="001D0A90"/>
    <w:rsid w:val="001D0C95"/>
    <w:rsid w:val="001D0E57"/>
    <w:rsid w:val="001D1530"/>
    <w:rsid w:val="001D1A62"/>
    <w:rsid w:val="001D1B82"/>
    <w:rsid w:val="001D1DCB"/>
    <w:rsid w:val="001D24FC"/>
    <w:rsid w:val="001D28A1"/>
    <w:rsid w:val="001D28B7"/>
    <w:rsid w:val="001D2AA5"/>
    <w:rsid w:val="001D2BDA"/>
    <w:rsid w:val="001D2C85"/>
    <w:rsid w:val="001D2D75"/>
    <w:rsid w:val="001D2DE1"/>
    <w:rsid w:val="001D3383"/>
    <w:rsid w:val="001D34E8"/>
    <w:rsid w:val="001D380A"/>
    <w:rsid w:val="001D383D"/>
    <w:rsid w:val="001D3C63"/>
    <w:rsid w:val="001D3D1B"/>
    <w:rsid w:val="001D444C"/>
    <w:rsid w:val="001D44B9"/>
    <w:rsid w:val="001D470E"/>
    <w:rsid w:val="001D4773"/>
    <w:rsid w:val="001D4B42"/>
    <w:rsid w:val="001D4BA4"/>
    <w:rsid w:val="001D4D34"/>
    <w:rsid w:val="001D4DB4"/>
    <w:rsid w:val="001D5250"/>
    <w:rsid w:val="001D54FC"/>
    <w:rsid w:val="001D57A4"/>
    <w:rsid w:val="001D5A27"/>
    <w:rsid w:val="001D60DA"/>
    <w:rsid w:val="001D61BD"/>
    <w:rsid w:val="001D6375"/>
    <w:rsid w:val="001D6445"/>
    <w:rsid w:val="001D65F3"/>
    <w:rsid w:val="001D68CD"/>
    <w:rsid w:val="001D7151"/>
    <w:rsid w:val="001D772A"/>
    <w:rsid w:val="001E016D"/>
    <w:rsid w:val="001E165B"/>
    <w:rsid w:val="001E174A"/>
    <w:rsid w:val="001E18CC"/>
    <w:rsid w:val="001E19C3"/>
    <w:rsid w:val="001E1B16"/>
    <w:rsid w:val="001E1B30"/>
    <w:rsid w:val="001E228A"/>
    <w:rsid w:val="001E2477"/>
    <w:rsid w:val="001E25B6"/>
    <w:rsid w:val="001E2775"/>
    <w:rsid w:val="001E2A31"/>
    <w:rsid w:val="001E2A5D"/>
    <w:rsid w:val="001E2B69"/>
    <w:rsid w:val="001E2C0C"/>
    <w:rsid w:val="001E2EBD"/>
    <w:rsid w:val="001E320E"/>
    <w:rsid w:val="001E3231"/>
    <w:rsid w:val="001E340A"/>
    <w:rsid w:val="001E3DE3"/>
    <w:rsid w:val="001E3FA6"/>
    <w:rsid w:val="001E3FBF"/>
    <w:rsid w:val="001E43CE"/>
    <w:rsid w:val="001E45E3"/>
    <w:rsid w:val="001E4ABF"/>
    <w:rsid w:val="001E4D53"/>
    <w:rsid w:val="001E515E"/>
    <w:rsid w:val="001E5328"/>
    <w:rsid w:val="001E532F"/>
    <w:rsid w:val="001E54E1"/>
    <w:rsid w:val="001E5771"/>
    <w:rsid w:val="001E5965"/>
    <w:rsid w:val="001E5C69"/>
    <w:rsid w:val="001E5FF5"/>
    <w:rsid w:val="001E63CA"/>
    <w:rsid w:val="001E66F1"/>
    <w:rsid w:val="001E69F8"/>
    <w:rsid w:val="001E6AAD"/>
    <w:rsid w:val="001E6AB7"/>
    <w:rsid w:val="001E6DD6"/>
    <w:rsid w:val="001E6E55"/>
    <w:rsid w:val="001E714A"/>
    <w:rsid w:val="001E7222"/>
    <w:rsid w:val="001E7855"/>
    <w:rsid w:val="001E787C"/>
    <w:rsid w:val="001E7919"/>
    <w:rsid w:val="001E79DD"/>
    <w:rsid w:val="001E79E4"/>
    <w:rsid w:val="001F0038"/>
    <w:rsid w:val="001F0197"/>
    <w:rsid w:val="001F0588"/>
    <w:rsid w:val="001F0943"/>
    <w:rsid w:val="001F096F"/>
    <w:rsid w:val="001F09DE"/>
    <w:rsid w:val="001F0B94"/>
    <w:rsid w:val="001F1337"/>
    <w:rsid w:val="001F1565"/>
    <w:rsid w:val="001F1782"/>
    <w:rsid w:val="001F1798"/>
    <w:rsid w:val="001F1991"/>
    <w:rsid w:val="001F19EF"/>
    <w:rsid w:val="001F1A15"/>
    <w:rsid w:val="001F1ADA"/>
    <w:rsid w:val="001F1BB0"/>
    <w:rsid w:val="001F1E41"/>
    <w:rsid w:val="001F1FD2"/>
    <w:rsid w:val="001F2368"/>
    <w:rsid w:val="001F23B3"/>
    <w:rsid w:val="001F2524"/>
    <w:rsid w:val="001F285F"/>
    <w:rsid w:val="001F2924"/>
    <w:rsid w:val="001F2A8E"/>
    <w:rsid w:val="001F3056"/>
    <w:rsid w:val="001F30DD"/>
    <w:rsid w:val="001F3543"/>
    <w:rsid w:val="001F3792"/>
    <w:rsid w:val="001F3831"/>
    <w:rsid w:val="001F38FE"/>
    <w:rsid w:val="001F4051"/>
    <w:rsid w:val="001F4074"/>
    <w:rsid w:val="001F457A"/>
    <w:rsid w:val="001F4685"/>
    <w:rsid w:val="001F47D3"/>
    <w:rsid w:val="001F4A2A"/>
    <w:rsid w:val="001F4EBC"/>
    <w:rsid w:val="001F4FE2"/>
    <w:rsid w:val="001F5777"/>
    <w:rsid w:val="001F5833"/>
    <w:rsid w:val="001F5BB3"/>
    <w:rsid w:val="001F6594"/>
    <w:rsid w:val="001F65BD"/>
    <w:rsid w:val="001F668B"/>
    <w:rsid w:val="001F673A"/>
    <w:rsid w:val="001F72FB"/>
    <w:rsid w:val="001F7478"/>
    <w:rsid w:val="001F7497"/>
    <w:rsid w:val="001F74EE"/>
    <w:rsid w:val="001F7504"/>
    <w:rsid w:val="001F7602"/>
    <w:rsid w:val="001F78F5"/>
    <w:rsid w:val="001F7AA4"/>
    <w:rsid w:val="00200044"/>
    <w:rsid w:val="002000D5"/>
    <w:rsid w:val="002003EA"/>
    <w:rsid w:val="00200476"/>
    <w:rsid w:val="00200955"/>
    <w:rsid w:val="00200ADE"/>
    <w:rsid w:val="00200B2E"/>
    <w:rsid w:val="00201A42"/>
    <w:rsid w:val="00201C23"/>
    <w:rsid w:val="00201E0A"/>
    <w:rsid w:val="00201EB4"/>
    <w:rsid w:val="002023B4"/>
    <w:rsid w:val="0020241D"/>
    <w:rsid w:val="0020288F"/>
    <w:rsid w:val="00202B33"/>
    <w:rsid w:val="00202B5D"/>
    <w:rsid w:val="00202D2E"/>
    <w:rsid w:val="0020352F"/>
    <w:rsid w:val="002035F5"/>
    <w:rsid w:val="00203727"/>
    <w:rsid w:val="00203BED"/>
    <w:rsid w:val="00203D20"/>
    <w:rsid w:val="00203D66"/>
    <w:rsid w:val="00203EF0"/>
    <w:rsid w:val="00204588"/>
    <w:rsid w:val="00204C18"/>
    <w:rsid w:val="00204E9C"/>
    <w:rsid w:val="0020531E"/>
    <w:rsid w:val="00205530"/>
    <w:rsid w:val="002055FD"/>
    <w:rsid w:val="0020571C"/>
    <w:rsid w:val="00205846"/>
    <w:rsid w:val="00205A56"/>
    <w:rsid w:val="00205AF2"/>
    <w:rsid w:val="00205B1E"/>
    <w:rsid w:val="00205B5B"/>
    <w:rsid w:val="00205BD5"/>
    <w:rsid w:val="00205BDD"/>
    <w:rsid w:val="00205C47"/>
    <w:rsid w:val="00205F48"/>
    <w:rsid w:val="00205F9E"/>
    <w:rsid w:val="0020614C"/>
    <w:rsid w:val="002062A6"/>
    <w:rsid w:val="0020668D"/>
    <w:rsid w:val="0020685F"/>
    <w:rsid w:val="00206C1F"/>
    <w:rsid w:val="00206C79"/>
    <w:rsid w:val="00206CAB"/>
    <w:rsid w:val="00206D1B"/>
    <w:rsid w:val="00206D57"/>
    <w:rsid w:val="00206FD2"/>
    <w:rsid w:val="0020737F"/>
    <w:rsid w:val="002077E8"/>
    <w:rsid w:val="00207925"/>
    <w:rsid w:val="002079CD"/>
    <w:rsid w:val="002079F2"/>
    <w:rsid w:val="00207BD8"/>
    <w:rsid w:val="00210189"/>
    <w:rsid w:val="002101EE"/>
    <w:rsid w:val="00210274"/>
    <w:rsid w:val="00210294"/>
    <w:rsid w:val="00210408"/>
    <w:rsid w:val="0021047A"/>
    <w:rsid w:val="00210783"/>
    <w:rsid w:val="0021092D"/>
    <w:rsid w:val="00210F56"/>
    <w:rsid w:val="00210FA2"/>
    <w:rsid w:val="0021118B"/>
    <w:rsid w:val="0021121E"/>
    <w:rsid w:val="00211260"/>
    <w:rsid w:val="002113B5"/>
    <w:rsid w:val="00211A22"/>
    <w:rsid w:val="00211D77"/>
    <w:rsid w:val="00211EE3"/>
    <w:rsid w:val="00211EF2"/>
    <w:rsid w:val="00212093"/>
    <w:rsid w:val="002128C4"/>
    <w:rsid w:val="0021292C"/>
    <w:rsid w:val="00212DA1"/>
    <w:rsid w:val="00212F61"/>
    <w:rsid w:val="00212F97"/>
    <w:rsid w:val="002130B8"/>
    <w:rsid w:val="002130DA"/>
    <w:rsid w:val="002135E8"/>
    <w:rsid w:val="00213725"/>
    <w:rsid w:val="002137A0"/>
    <w:rsid w:val="0021388D"/>
    <w:rsid w:val="00213A6F"/>
    <w:rsid w:val="00213BAB"/>
    <w:rsid w:val="00213D49"/>
    <w:rsid w:val="00213E3B"/>
    <w:rsid w:val="00213E60"/>
    <w:rsid w:val="002140A9"/>
    <w:rsid w:val="00214165"/>
    <w:rsid w:val="00214191"/>
    <w:rsid w:val="002141DC"/>
    <w:rsid w:val="002142E4"/>
    <w:rsid w:val="002142F9"/>
    <w:rsid w:val="00214436"/>
    <w:rsid w:val="00214637"/>
    <w:rsid w:val="00215187"/>
    <w:rsid w:val="002151C2"/>
    <w:rsid w:val="00215293"/>
    <w:rsid w:val="002152DA"/>
    <w:rsid w:val="0021531F"/>
    <w:rsid w:val="002153AE"/>
    <w:rsid w:val="002155B2"/>
    <w:rsid w:val="00215B58"/>
    <w:rsid w:val="00215FC5"/>
    <w:rsid w:val="0021626E"/>
    <w:rsid w:val="002163C9"/>
    <w:rsid w:val="0021677A"/>
    <w:rsid w:val="00216A50"/>
    <w:rsid w:val="00216A81"/>
    <w:rsid w:val="00216AFA"/>
    <w:rsid w:val="00217096"/>
    <w:rsid w:val="00217171"/>
    <w:rsid w:val="00217690"/>
    <w:rsid w:val="00217C12"/>
    <w:rsid w:val="00217F28"/>
    <w:rsid w:val="0022000C"/>
    <w:rsid w:val="002200D3"/>
    <w:rsid w:val="00220279"/>
    <w:rsid w:val="0022061E"/>
    <w:rsid w:val="00220B4F"/>
    <w:rsid w:val="00220C36"/>
    <w:rsid w:val="00220DB6"/>
    <w:rsid w:val="00220F16"/>
    <w:rsid w:val="0022120F"/>
    <w:rsid w:val="002212EF"/>
    <w:rsid w:val="002214B9"/>
    <w:rsid w:val="0022191F"/>
    <w:rsid w:val="00221CA0"/>
    <w:rsid w:val="00221E01"/>
    <w:rsid w:val="00221E52"/>
    <w:rsid w:val="00221EB6"/>
    <w:rsid w:val="00221FE4"/>
    <w:rsid w:val="00222166"/>
    <w:rsid w:val="00222624"/>
    <w:rsid w:val="0022279E"/>
    <w:rsid w:val="002228AE"/>
    <w:rsid w:val="002229D0"/>
    <w:rsid w:val="00222BE4"/>
    <w:rsid w:val="00222C0F"/>
    <w:rsid w:val="002231D3"/>
    <w:rsid w:val="00223BF1"/>
    <w:rsid w:val="0022438A"/>
    <w:rsid w:val="00224900"/>
    <w:rsid w:val="00224DAA"/>
    <w:rsid w:val="00224EEB"/>
    <w:rsid w:val="002250AF"/>
    <w:rsid w:val="002250E6"/>
    <w:rsid w:val="0022521B"/>
    <w:rsid w:val="00225228"/>
    <w:rsid w:val="00225485"/>
    <w:rsid w:val="002258B3"/>
    <w:rsid w:val="0022608B"/>
    <w:rsid w:val="0022676A"/>
    <w:rsid w:val="00226862"/>
    <w:rsid w:val="00226D4C"/>
    <w:rsid w:val="00226DBF"/>
    <w:rsid w:val="00226DF9"/>
    <w:rsid w:val="00226E28"/>
    <w:rsid w:val="002271EA"/>
    <w:rsid w:val="002273AC"/>
    <w:rsid w:val="002276EA"/>
    <w:rsid w:val="00227884"/>
    <w:rsid w:val="00227B5D"/>
    <w:rsid w:val="00227B9C"/>
    <w:rsid w:val="00230A98"/>
    <w:rsid w:val="00230CDA"/>
    <w:rsid w:val="00230DCC"/>
    <w:rsid w:val="00231417"/>
    <w:rsid w:val="002315F6"/>
    <w:rsid w:val="0023164F"/>
    <w:rsid w:val="0023179A"/>
    <w:rsid w:val="0023186E"/>
    <w:rsid w:val="00231B31"/>
    <w:rsid w:val="00231BE8"/>
    <w:rsid w:val="00231D07"/>
    <w:rsid w:val="00231DE7"/>
    <w:rsid w:val="00231E4A"/>
    <w:rsid w:val="00231E9C"/>
    <w:rsid w:val="002323B8"/>
    <w:rsid w:val="002324D6"/>
    <w:rsid w:val="002326BF"/>
    <w:rsid w:val="00232A0E"/>
    <w:rsid w:val="00232B3C"/>
    <w:rsid w:val="00232D86"/>
    <w:rsid w:val="00232DF5"/>
    <w:rsid w:val="00233701"/>
    <w:rsid w:val="00233B9B"/>
    <w:rsid w:val="002343E2"/>
    <w:rsid w:val="00234754"/>
    <w:rsid w:val="002358E3"/>
    <w:rsid w:val="002359CB"/>
    <w:rsid w:val="00235A74"/>
    <w:rsid w:val="00235C50"/>
    <w:rsid w:val="002360F9"/>
    <w:rsid w:val="002362E3"/>
    <w:rsid w:val="002363AB"/>
    <w:rsid w:val="0023675C"/>
    <w:rsid w:val="00236E31"/>
    <w:rsid w:val="00236F77"/>
    <w:rsid w:val="00237066"/>
    <w:rsid w:val="0023711D"/>
    <w:rsid w:val="002371CF"/>
    <w:rsid w:val="00237CD1"/>
    <w:rsid w:val="00237EE3"/>
    <w:rsid w:val="00240501"/>
    <w:rsid w:val="00240503"/>
    <w:rsid w:val="0024059F"/>
    <w:rsid w:val="00241249"/>
    <w:rsid w:val="00241305"/>
    <w:rsid w:val="00241350"/>
    <w:rsid w:val="00241898"/>
    <w:rsid w:val="00241B43"/>
    <w:rsid w:val="00241B9B"/>
    <w:rsid w:val="00242134"/>
    <w:rsid w:val="00242257"/>
    <w:rsid w:val="002423B4"/>
    <w:rsid w:val="002424AC"/>
    <w:rsid w:val="002426B3"/>
    <w:rsid w:val="0024281C"/>
    <w:rsid w:val="00242A98"/>
    <w:rsid w:val="00242C82"/>
    <w:rsid w:val="00242EFE"/>
    <w:rsid w:val="00242F78"/>
    <w:rsid w:val="00243146"/>
    <w:rsid w:val="002431AD"/>
    <w:rsid w:val="00243267"/>
    <w:rsid w:val="002435A1"/>
    <w:rsid w:val="0024370B"/>
    <w:rsid w:val="00243723"/>
    <w:rsid w:val="002438E3"/>
    <w:rsid w:val="00243AD5"/>
    <w:rsid w:val="00243DB7"/>
    <w:rsid w:val="002442E3"/>
    <w:rsid w:val="002442E5"/>
    <w:rsid w:val="002444EA"/>
    <w:rsid w:val="00244756"/>
    <w:rsid w:val="002451F4"/>
    <w:rsid w:val="002454D9"/>
    <w:rsid w:val="0024557D"/>
    <w:rsid w:val="002456CE"/>
    <w:rsid w:val="002458B3"/>
    <w:rsid w:val="00246139"/>
    <w:rsid w:val="0024629A"/>
    <w:rsid w:val="00246450"/>
    <w:rsid w:val="00246505"/>
    <w:rsid w:val="002465A2"/>
    <w:rsid w:val="002465B3"/>
    <w:rsid w:val="00246F4B"/>
    <w:rsid w:val="00247162"/>
    <w:rsid w:val="00247186"/>
    <w:rsid w:val="00247294"/>
    <w:rsid w:val="002472B7"/>
    <w:rsid w:val="00247315"/>
    <w:rsid w:val="00247625"/>
    <w:rsid w:val="00247838"/>
    <w:rsid w:val="00247B1A"/>
    <w:rsid w:val="00247D45"/>
    <w:rsid w:val="00247DB8"/>
    <w:rsid w:val="00247EB3"/>
    <w:rsid w:val="00250078"/>
    <w:rsid w:val="002504D0"/>
    <w:rsid w:val="0025062B"/>
    <w:rsid w:val="0025098A"/>
    <w:rsid w:val="00250A64"/>
    <w:rsid w:val="00250E89"/>
    <w:rsid w:val="00250FCC"/>
    <w:rsid w:val="002511F0"/>
    <w:rsid w:val="002513D4"/>
    <w:rsid w:val="00251458"/>
    <w:rsid w:val="0025219D"/>
    <w:rsid w:val="002524A0"/>
    <w:rsid w:val="0025266D"/>
    <w:rsid w:val="002527A3"/>
    <w:rsid w:val="002528E0"/>
    <w:rsid w:val="00252F4E"/>
    <w:rsid w:val="00253499"/>
    <w:rsid w:val="002535B9"/>
    <w:rsid w:val="00253C19"/>
    <w:rsid w:val="00253C95"/>
    <w:rsid w:val="00253CF8"/>
    <w:rsid w:val="002543D4"/>
    <w:rsid w:val="00254797"/>
    <w:rsid w:val="002547BA"/>
    <w:rsid w:val="0025487F"/>
    <w:rsid w:val="002548A1"/>
    <w:rsid w:val="00254B8C"/>
    <w:rsid w:val="00254DCE"/>
    <w:rsid w:val="0025544A"/>
    <w:rsid w:val="00255637"/>
    <w:rsid w:val="00255643"/>
    <w:rsid w:val="00255A87"/>
    <w:rsid w:val="00255B6C"/>
    <w:rsid w:val="00255E1C"/>
    <w:rsid w:val="00255E79"/>
    <w:rsid w:val="00255EC7"/>
    <w:rsid w:val="0025609F"/>
    <w:rsid w:val="0025657A"/>
    <w:rsid w:val="002566BB"/>
    <w:rsid w:val="00256F91"/>
    <w:rsid w:val="0025707D"/>
    <w:rsid w:val="00257681"/>
    <w:rsid w:val="00257688"/>
    <w:rsid w:val="0025787C"/>
    <w:rsid w:val="002578CD"/>
    <w:rsid w:val="00257F40"/>
    <w:rsid w:val="00257FE5"/>
    <w:rsid w:val="0026075D"/>
    <w:rsid w:val="00260822"/>
    <w:rsid w:val="00260AC3"/>
    <w:rsid w:val="00260B9F"/>
    <w:rsid w:val="002612F8"/>
    <w:rsid w:val="00261B70"/>
    <w:rsid w:val="0026203F"/>
    <w:rsid w:val="002620BB"/>
    <w:rsid w:val="0026254E"/>
    <w:rsid w:val="00262558"/>
    <w:rsid w:val="002629F1"/>
    <w:rsid w:val="00262D88"/>
    <w:rsid w:val="00262F63"/>
    <w:rsid w:val="002633B5"/>
    <w:rsid w:val="0026350C"/>
    <w:rsid w:val="002636AA"/>
    <w:rsid w:val="00263740"/>
    <w:rsid w:val="00263D07"/>
    <w:rsid w:val="00263D2C"/>
    <w:rsid w:val="00263EB9"/>
    <w:rsid w:val="002642E7"/>
    <w:rsid w:val="002646D2"/>
    <w:rsid w:val="00264862"/>
    <w:rsid w:val="002649DB"/>
    <w:rsid w:val="00264C5E"/>
    <w:rsid w:val="00264DC1"/>
    <w:rsid w:val="0026536A"/>
    <w:rsid w:val="00265615"/>
    <w:rsid w:val="00265685"/>
    <w:rsid w:val="002656BE"/>
    <w:rsid w:val="00265DB4"/>
    <w:rsid w:val="002662CC"/>
    <w:rsid w:val="0026734E"/>
    <w:rsid w:val="002674DF"/>
    <w:rsid w:val="0026775D"/>
    <w:rsid w:val="00267900"/>
    <w:rsid w:val="00267A28"/>
    <w:rsid w:val="00267B13"/>
    <w:rsid w:val="0027011F"/>
    <w:rsid w:val="002704FA"/>
    <w:rsid w:val="00270762"/>
    <w:rsid w:val="00270797"/>
    <w:rsid w:val="00270869"/>
    <w:rsid w:val="0027086E"/>
    <w:rsid w:val="00270AF6"/>
    <w:rsid w:val="00270C74"/>
    <w:rsid w:val="00270E17"/>
    <w:rsid w:val="00270E46"/>
    <w:rsid w:val="002714D2"/>
    <w:rsid w:val="00271827"/>
    <w:rsid w:val="0027196A"/>
    <w:rsid w:val="00271CB3"/>
    <w:rsid w:val="0027205F"/>
    <w:rsid w:val="0027209D"/>
    <w:rsid w:val="002720E1"/>
    <w:rsid w:val="00272305"/>
    <w:rsid w:val="0027258C"/>
    <w:rsid w:val="002727B8"/>
    <w:rsid w:val="00272851"/>
    <w:rsid w:val="0027285D"/>
    <w:rsid w:val="00272A0B"/>
    <w:rsid w:val="00272BF3"/>
    <w:rsid w:val="00272D61"/>
    <w:rsid w:val="00272F70"/>
    <w:rsid w:val="0027358C"/>
    <w:rsid w:val="00273AB2"/>
    <w:rsid w:val="00273C8C"/>
    <w:rsid w:val="00273D88"/>
    <w:rsid w:val="002746DF"/>
    <w:rsid w:val="0027476D"/>
    <w:rsid w:val="00274B4D"/>
    <w:rsid w:val="002756EE"/>
    <w:rsid w:val="002758DC"/>
    <w:rsid w:val="00275919"/>
    <w:rsid w:val="00275CA0"/>
    <w:rsid w:val="00276242"/>
    <w:rsid w:val="00276616"/>
    <w:rsid w:val="002766F7"/>
    <w:rsid w:val="002769F7"/>
    <w:rsid w:val="00276EB3"/>
    <w:rsid w:val="0027726F"/>
    <w:rsid w:val="002774DC"/>
    <w:rsid w:val="00277725"/>
    <w:rsid w:val="0027781D"/>
    <w:rsid w:val="00277952"/>
    <w:rsid w:val="00277C16"/>
    <w:rsid w:val="00277E07"/>
    <w:rsid w:val="00277FAB"/>
    <w:rsid w:val="002800DE"/>
    <w:rsid w:val="002800FA"/>
    <w:rsid w:val="0028033B"/>
    <w:rsid w:val="00280510"/>
    <w:rsid w:val="0028096B"/>
    <w:rsid w:val="00280AA1"/>
    <w:rsid w:val="00280B27"/>
    <w:rsid w:val="00280CB9"/>
    <w:rsid w:val="00280E26"/>
    <w:rsid w:val="00280E56"/>
    <w:rsid w:val="00280FD0"/>
    <w:rsid w:val="002812A3"/>
    <w:rsid w:val="00281403"/>
    <w:rsid w:val="0028173F"/>
    <w:rsid w:val="00281769"/>
    <w:rsid w:val="00281CB7"/>
    <w:rsid w:val="00281EEA"/>
    <w:rsid w:val="00281F00"/>
    <w:rsid w:val="00281F19"/>
    <w:rsid w:val="00281FD1"/>
    <w:rsid w:val="0028238D"/>
    <w:rsid w:val="00282746"/>
    <w:rsid w:val="0028356D"/>
    <w:rsid w:val="00283FF6"/>
    <w:rsid w:val="00284241"/>
    <w:rsid w:val="00284367"/>
    <w:rsid w:val="002848B4"/>
    <w:rsid w:val="0028507F"/>
    <w:rsid w:val="00285248"/>
    <w:rsid w:val="00285250"/>
    <w:rsid w:val="002854D0"/>
    <w:rsid w:val="00285538"/>
    <w:rsid w:val="002855CC"/>
    <w:rsid w:val="002858C9"/>
    <w:rsid w:val="00285AAA"/>
    <w:rsid w:val="00285FB7"/>
    <w:rsid w:val="00286059"/>
    <w:rsid w:val="002869F2"/>
    <w:rsid w:val="00286DB6"/>
    <w:rsid w:val="00286DB9"/>
    <w:rsid w:val="00286DC2"/>
    <w:rsid w:val="00287336"/>
    <w:rsid w:val="00287601"/>
    <w:rsid w:val="002876BB"/>
    <w:rsid w:val="002876E2"/>
    <w:rsid w:val="00287749"/>
    <w:rsid w:val="002878D8"/>
    <w:rsid w:val="002878F4"/>
    <w:rsid w:val="00287A82"/>
    <w:rsid w:val="00287B9A"/>
    <w:rsid w:val="00287D36"/>
    <w:rsid w:val="00287E16"/>
    <w:rsid w:val="00287EA2"/>
    <w:rsid w:val="00290A01"/>
    <w:rsid w:val="00290A62"/>
    <w:rsid w:val="00290BA2"/>
    <w:rsid w:val="0029152F"/>
    <w:rsid w:val="002917F9"/>
    <w:rsid w:val="00291ACF"/>
    <w:rsid w:val="00291B4F"/>
    <w:rsid w:val="00291E51"/>
    <w:rsid w:val="00291EB4"/>
    <w:rsid w:val="002925DE"/>
    <w:rsid w:val="002925E0"/>
    <w:rsid w:val="0029266C"/>
    <w:rsid w:val="00292708"/>
    <w:rsid w:val="00292823"/>
    <w:rsid w:val="00292DE5"/>
    <w:rsid w:val="00293956"/>
    <w:rsid w:val="00293BB0"/>
    <w:rsid w:val="00294162"/>
    <w:rsid w:val="00294164"/>
    <w:rsid w:val="0029425A"/>
    <w:rsid w:val="00294FF2"/>
    <w:rsid w:val="0029513D"/>
    <w:rsid w:val="0029527C"/>
    <w:rsid w:val="00295598"/>
    <w:rsid w:val="002955C1"/>
    <w:rsid w:val="00295988"/>
    <w:rsid w:val="00295A73"/>
    <w:rsid w:val="00295C15"/>
    <w:rsid w:val="00295CD6"/>
    <w:rsid w:val="00295F6D"/>
    <w:rsid w:val="00296095"/>
    <w:rsid w:val="00296658"/>
    <w:rsid w:val="002967E7"/>
    <w:rsid w:val="00296860"/>
    <w:rsid w:val="00296CD3"/>
    <w:rsid w:val="00296DF3"/>
    <w:rsid w:val="00297083"/>
    <w:rsid w:val="0029724D"/>
    <w:rsid w:val="002973D8"/>
    <w:rsid w:val="0029757B"/>
    <w:rsid w:val="0029759A"/>
    <w:rsid w:val="00297695"/>
    <w:rsid w:val="002976AD"/>
    <w:rsid w:val="00297E34"/>
    <w:rsid w:val="00297EED"/>
    <w:rsid w:val="002A0264"/>
    <w:rsid w:val="002A1125"/>
    <w:rsid w:val="002A138A"/>
    <w:rsid w:val="002A180F"/>
    <w:rsid w:val="002A1A00"/>
    <w:rsid w:val="002A1B42"/>
    <w:rsid w:val="002A2048"/>
    <w:rsid w:val="002A23A9"/>
    <w:rsid w:val="002A2758"/>
    <w:rsid w:val="002A2963"/>
    <w:rsid w:val="002A2D44"/>
    <w:rsid w:val="002A2F80"/>
    <w:rsid w:val="002A30A2"/>
    <w:rsid w:val="002A33E3"/>
    <w:rsid w:val="002A33F9"/>
    <w:rsid w:val="002A3911"/>
    <w:rsid w:val="002A3D7B"/>
    <w:rsid w:val="002A3E28"/>
    <w:rsid w:val="002A43A2"/>
    <w:rsid w:val="002A44FC"/>
    <w:rsid w:val="002A46AA"/>
    <w:rsid w:val="002A4844"/>
    <w:rsid w:val="002A49DB"/>
    <w:rsid w:val="002A4D88"/>
    <w:rsid w:val="002A4EA9"/>
    <w:rsid w:val="002A5347"/>
    <w:rsid w:val="002A56E7"/>
    <w:rsid w:val="002A5891"/>
    <w:rsid w:val="002A58C8"/>
    <w:rsid w:val="002A5D9F"/>
    <w:rsid w:val="002A5E59"/>
    <w:rsid w:val="002A658A"/>
    <w:rsid w:val="002A65D0"/>
    <w:rsid w:val="002A6B8B"/>
    <w:rsid w:val="002A6E73"/>
    <w:rsid w:val="002A71ED"/>
    <w:rsid w:val="002A74AE"/>
    <w:rsid w:val="002A7591"/>
    <w:rsid w:val="002A7AAA"/>
    <w:rsid w:val="002A7E10"/>
    <w:rsid w:val="002B0033"/>
    <w:rsid w:val="002B085D"/>
    <w:rsid w:val="002B085F"/>
    <w:rsid w:val="002B0957"/>
    <w:rsid w:val="002B0E08"/>
    <w:rsid w:val="002B125A"/>
    <w:rsid w:val="002B12C3"/>
    <w:rsid w:val="002B1855"/>
    <w:rsid w:val="002B1CFB"/>
    <w:rsid w:val="002B1EE6"/>
    <w:rsid w:val="002B20C0"/>
    <w:rsid w:val="002B2297"/>
    <w:rsid w:val="002B23A8"/>
    <w:rsid w:val="002B2418"/>
    <w:rsid w:val="002B2801"/>
    <w:rsid w:val="002B2A63"/>
    <w:rsid w:val="002B2A93"/>
    <w:rsid w:val="002B30FA"/>
    <w:rsid w:val="002B3323"/>
    <w:rsid w:val="002B370B"/>
    <w:rsid w:val="002B3B9D"/>
    <w:rsid w:val="002B3C16"/>
    <w:rsid w:val="002B3E83"/>
    <w:rsid w:val="002B424A"/>
    <w:rsid w:val="002B46BB"/>
    <w:rsid w:val="002B4BAA"/>
    <w:rsid w:val="002B5135"/>
    <w:rsid w:val="002B518F"/>
    <w:rsid w:val="002B54F1"/>
    <w:rsid w:val="002B6680"/>
    <w:rsid w:val="002B6842"/>
    <w:rsid w:val="002B6C67"/>
    <w:rsid w:val="002B6C9A"/>
    <w:rsid w:val="002B6F42"/>
    <w:rsid w:val="002B71CC"/>
    <w:rsid w:val="002B742D"/>
    <w:rsid w:val="002B78A8"/>
    <w:rsid w:val="002B7CAA"/>
    <w:rsid w:val="002B7F72"/>
    <w:rsid w:val="002B7FD4"/>
    <w:rsid w:val="002C020F"/>
    <w:rsid w:val="002C0212"/>
    <w:rsid w:val="002C0DC7"/>
    <w:rsid w:val="002C116C"/>
    <w:rsid w:val="002C120B"/>
    <w:rsid w:val="002C1BC5"/>
    <w:rsid w:val="002C1D91"/>
    <w:rsid w:val="002C238E"/>
    <w:rsid w:val="002C24E4"/>
    <w:rsid w:val="002C276D"/>
    <w:rsid w:val="002C2DD2"/>
    <w:rsid w:val="002C2E45"/>
    <w:rsid w:val="002C2EF7"/>
    <w:rsid w:val="002C30FA"/>
    <w:rsid w:val="002C33CD"/>
    <w:rsid w:val="002C35CB"/>
    <w:rsid w:val="002C35DB"/>
    <w:rsid w:val="002C3754"/>
    <w:rsid w:val="002C37E8"/>
    <w:rsid w:val="002C387F"/>
    <w:rsid w:val="002C38FC"/>
    <w:rsid w:val="002C3FCB"/>
    <w:rsid w:val="002C4067"/>
    <w:rsid w:val="002C4574"/>
    <w:rsid w:val="002C4648"/>
    <w:rsid w:val="002C47B2"/>
    <w:rsid w:val="002C5225"/>
    <w:rsid w:val="002C56A2"/>
    <w:rsid w:val="002C5B90"/>
    <w:rsid w:val="002C5FAC"/>
    <w:rsid w:val="002C6B4D"/>
    <w:rsid w:val="002C6B8C"/>
    <w:rsid w:val="002C6D97"/>
    <w:rsid w:val="002C6F26"/>
    <w:rsid w:val="002C715F"/>
    <w:rsid w:val="002C7180"/>
    <w:rsid w:val="002C773E"/>
    <w:rsid w:val="002C7764"/>
    <w:rsid w:val="002C7AD2"/>
    <w:rsid w:val="002C7B1F"/>
    <w:rsid w:val="002C7B3E"/>
    <w:rsid w:val="002C7BCC"/>
    <w:rsid w:val="002C7DAF"/>
    <w:rsid w:val="002C7DC6"/>
    <w:rsid w:val="002D0274"/>
    <w:rsid w:val="002D0459"/>
    <w:rsid w:val="002D0508"/>
    <w:rsid w:val="002D05E1"/>
    <w:rsid w:val="002D0926"/>
    <w:rsid w:val="002D0BC4"/>
    <w:rsid w:val="002D0D10"/>
    <w:rsid w:val="002D1450"/>
    <w:rsid w:val="002D1F11"/>
    <w:rsid w:val="002D2147"/>
    <w:rsid w:val="002D23F6"/>
    <w:rsid w:val="002D2807"/>
    <w:rsid w:val="002D28EA"/>
    <w:rsid w:val="002D31E8"/>
    <w:rsid w:val="002D3204"/>
    <w:rsid w:val="002D33EE"/>
    <w:rsid w:val="002D3686"/>
    <w:rsid w:val="002D39A6"/>
    <w:rsid w:val="002D40E9"/>
    <w:rsid w:val="002D410E"/>
    <w:rsid w:val="002D447E"/>
    <w:rsid w:val="002D481C"/>
    <w:rsid w:val="002D482F"/>
    <w:rsid w:val="002D4ACA"/>
    <w:rsid w:val="002D4B15"/>
    <w:rsid w:val="002D4E56"/>
    <w:rsid w:val="002D4F50"/>
    <w:rsid w:val="002D5233"/>
    <w:rsid w:val="002D52E9"/>
    <w:rsid w:val="002D58A6"/>
    <w:rsid w:val="002D5A2A"/>
    <w:rsid w:val="002D5BEC"/>
    <w:rsid w:val="002D5CB4"/>
    <w:rsid w:val="002D5DDF"/>
    <w:rsid w:val="002D5F29"/>
    <w:rsid w:val="002D5FA1"/>
    <w:rsid w:val="002D6782"/>
    <w:rsid w:val="002D67EE"/>
    <w:rsid w:val="002D68FB"/>
    <w:rsid w:val="002D6916"/>
    <w:rsid w:val="002D6AFB"/>
    <w:rsid w:val="002D7450"/>
    <w:rsid w:val="002E02A5"/>
    <w:rsid w:val="002E0899"/>
    <w:rsid w:val="002E0F9D"/>
    <w:rsid w:val="002E131C"/>
    <w:rsid w:val="002E15B3"/>
    <w:rsid w:val="002E1B89"/>
    <w:rsid w:val="002E1DD5"/>
    <w:rsid w:val="002E20BC"/>
    <w:rsid w:val="002E23B4"/>
    <w:rsid w:val="002E24A3"/>
    <w:rsid w:val="002E28D2"/>
    <w:rsid w:val="002E29A1"/>
    <w:rsid w:val="002E2AE2"/>
    <w:rsid w:val="002E2B20"/>
    <w:rsid w:val="002E2B61"/>
    <w:rsid w:val="002E2BFD"/>
    <w:rsid w:val="002E2DC4"/>
    <w:rsid w:val="002E335A"/>
    <w:rsid w:val="002E39BF"/>
    <w:rsid w:val="002E45FA"/>
    <w:rsid w:val="002E4C5F"/>
    <w:rsid w:val="002E52C2"/>
    <w:rsid w:val="002E5C1D"/>
    <w:rsid w:val="002E6434"/>
    <w:rsid w:val="002E66CF"/>
    <w:rsid w:val="002E6A87"/>
    <w:rsid w:val="002E6D34"/>
    <w:rsid w:val="002E6E59"/>
    <w:rsid w:val="002E6ED7"/>
    <w:rsid w:val="002E758D"/>
    <w:rsid w:val="002E76DF"/>
    <w:rsid w:val="002E7927"/>
    <w:rsid w:val="002E7CC2"/>
    <w:rsid w:val="002E7D96"/>
    <w:rsid w:val="002E7DB4"/>
    <w:rsid w:val="002E7DFE"/>
    <w:rsid w:val="002E7EE7"/>
    <w:rsid w:val="002E7FA7"/>
    <w:rsid w:val="002F0463"/>
    <w:rsid w:val="002F073C"/>
    <w:rsid w:val="002F0CCD"/>
    <w:rsid w:val="002F10CA"/>
    <w:rsid w:val="002F10E6"/>
    <w:rsid w:val="002F15A4"/>
    <w:rsid w:val="002F18A8"/>
    <w:rsid w:val="002F195B"/>
    <w:rsid w:val="002F1A19"/>
    <w:rsid w:val="002F1A9F"/>
    <w:rsid w:val="002F1AB5"/>
    <w:rsid w:val="002F1B1F"/>
    <w:rsid w:val="002F1B29"/>
    <w:rsid w:val="002F1E45"/>
    <w:rsid w:val="002F1F49"/>
    <w:rsid w:val="002F2883"/>
    <w:rsid w:val="002F36B3"/>
    <w:rsid w:val="002F37E1"/>
    <w:rsid w:val="002F3891"/>
    <w:rsid w:val="002F3B82"/>
    <w:rsid w:val="002F3D2F"/>
    <w:rsid w:val="002F4025"/>
    <w:rsid w:val="002F441F"/>
    <w:rsid w:val="002F4686"/>
    <w:rsid w:val="002F477B"/>
    <w:rsid w:val="002F4ACC"/>
    <w:rsid w:val="002F509E"/>
    <w:rsid w:val="002F50E1"/>
    <w:rsid w:val="002F56E8"/>
    <w:rsid w:val="002F5708"/>
    <w:rsid w:val="002F5D36"/>
    <w:rsid w:val="002F5E76"/>
    <w:rsid w:val="002F5EB4"/>
    <w:rsid w:val="002F5F1F"/>
    <w:rsid w:val="002F610E"/>
    <w:rsid w:val="002F61F5"/>
    <w:rsid w:val="002F641E"/>
    <w:rsid w:val="002F645A"/>
    <w:rsid w:val="002F64FB"/>
    <w:rsid w:val="002F6613"/>
    <w:rsid w:val="002F69E1"/>
    <w:rsid w:val="002F6EB7"/>
    <w:rsid w:val="002F7134"/>
    <w:rsid w:val="002F71EE"/>
    <w:rsid w:val="002F7274"/>
    <w:rsid w:val="002F7289"/>
    <w:rsid w:val="002F729E"/>
    <w:rsid w:val="002F72B8"/>
    <w:rsid w:val="002F76FA"/>
    <w:rsid w:val="002F7EF9"/>
    <w:rsid w:val="002F7F7A"/>
    <w:rsid w:val="002F7FC7"/>
    <w:rsid w:val="0030006C"/>
    <w:rsid w:val="003003A5"/>
    <w:rsid w:val="0030052F"/>
    <w:rsid w:val="003005F7"/>
    <w:rsid w:val="00300749"/>
    <w:rsid w:val="00300792"/>
    <w:rsid w:val="0030102A"/>
    <w:rsid w:val="00301334"/>
    <w:rsid w:val="00301394"/>
    <w:rsid w:val="003014E2"/>
    <w:rsid w:val="003014E7"/>
    <w:rsid w:val="0030184D"/>
    <w:rsid w:val="003019CF"/>
    <w:rsid w:val="00301A63"/>
    <w:rsid w:val="00302080"/>
    <w:rsid w:val="00302257"/>
    <w:rsid w:val="00302440"/>
    <w:rsid w:val="00302ABC"/>
    <w:rsid w:val="00302BDE"/>
    <w:rsid w:val="0030320D"/>
    <w:rsid w:val="00303848"/>
    <w:rsid w:val="003039B1"/>
    <w:rsid w:val="00303B2D"/>
    <w:rsid w:val="00303C0D"/>
    <w:rsid w:val="00303C6F"/>
    <w:rsid w:val="00303D0D"/>
    <w:rsid w:val="003041E9"/>
    <w:rsid w:val="0030453A"/>
    <w:rsid w:val="0030466C"/>
    <w:rsid w:val="00304972"/>
    <w:rsid w:val="00304CF2"/>
    <w:rsid w:val="003050B4"/>
    <w:rsid w:val="003051E2"/>
    <w:rsid w:val="00305370"/>
    <w:rsid w:val="0030579B"/>
    <w:rsid w:val="00305A21"/>
    <w:rsid w:val="00306544"/>
    <w:rsid w:val="003065D1"/>
    <w:rsid w:val="003065FC"/>
    <w:rsid w:val="00306864"/>
    <w:rsid w:val="00306A23"/>
    <w:rsid w:val="00306AB4"/>
    <w:rsid w:val="00306B8B"/>
    <w:rsid w:val="00306D2D"/>
    <w:rsid w:val="0030711A"/>
    <w:rsid w:val="003073CD"/>
    <w:rsid w:val="003076A6"/>
    <w:rsid w:val="00307922"/>
    <w:rsid w:val="00307B19"/>
    <w:rsid w:val="00307E4D"/>
    <w:rsid w:val="003100C2"/>
    <w:rsid w:val="0031014A"/>
    <w:rsid w:val="003101C2"/>
    <w:rsid w:val="00310553"/>
    <w:rsid w:val="003108AF"/>
    <w:rsid w:val="00311224"/>
    <w:rsid w:val="003113CA"/>
    <w:rsid w:val="0031155F"/>
    <w:rsid w:val="0031169C"/>
    <w:rsid w:val="0031180D"/>
    <w:rsid w:val="00311A48"/>
    <w:rsid w:val="00311C6A"/>
    <w:rsid w:val="00311CB9"/>
    <w:rsid w:val="00311DE3"/>
    <w:rsid w:val="00311E38"/>
    <w:rsid w:val="003126C9"/>
    <w:rsid w:val="00312C04"/>
    <w:rsid w:val="00312C5C"/>
    <w:rsid w:val="003131DB"/>
    <w:rsid w:val="0031341E"/>
    <w:rsid w:val="00313E1F"/>
    <w:rsid w:val="00313EA4"/>
    <w:rsid w:val="00313F08"/>
    <w:rsid w:val="00314034"/>
    <w:rsid w:val="003141DD"/>
    <w:rsid w:val="003143BD"/>
    <w:rsid w:val="00314D8C"/>
    <w:rsid w:val="00314E93"/>
    <w:rsid w:val="00315C9A"/>
    <w:rsid w:val="00315E1A"/>
    <w:rsid w:val="00315F05"/>
    <w:rsid w:val="003168A4"/>
    <w:rsid w:val="00316963"/>
    <w:rsid w:val="00317506"/>
    <w:rsid w:val="00317866"/>
    <w:rsid w:val="00317A93"/>
    <w:rsid w:val="00317CD0"/>
    <w:rsid w:val="00317D2C"/>
    <w:rsid w:val="0032024F"/>
    <w:rsid w:val="003206C5"/>
    <w:rsid w:val="00320798"/>
    <w:rsid w:val="00320961"/>
    <w:rsid w:val="00320AAE"/>
    <w:rsid w:val="00320C24"/>
    <w:rsid w:val="003211E6"/>
    <w:rsid w:val="003212CC"/>
    <w:rsid w:val="00321AA1"/>
    <w:rsid w:val="00321C09"/>
    <w:rsid w:val="00321E0E"/>
    <w:rsid w:val="00322118"/>
    <w:rsid w:val="0032215B"/>
    <w:rsid w:val="003227A2"/>
    <w:rsid w:val="00322AD7"/>
    <w:rsid w:val="00322B03"/>
    <w:rsid w:val="00322BC6"/>
    <w:rsid w:val="00322ED0"/>
    <w:rsid w:val="00322F3E"/>
    <w:rsid w:val="00322FCD"/>
    <w:rsid w:val="0032301E"/>
    <w:rsid w:val="00323061"/>
    <w:rsid w:val="003233B3"/>
    <w:rsid w:val="00323468"/>
    <w:rsid w:val="0032347B"/>
    <w:rsid w:val="0032377E"/>
    <w:rsid w:val="00323BFA"/>
    <w:rsid w:val="00323C26"/>
    <w:rsid w:val="00323E3F"/>
    <w:rsid w:val="00324333"/>
    <w:rsid w:val="00324A5F"/>
    <w:rsid w:val="00324C1B"/>
    <w:rsid w:val="00324E3C"/>
    <w:rsid w:val="0032531B"/>
    <w:rsid w:val="003254F3"/>
    <w:rsid w:val="00325723"/>
    <w:rsid w:val="00325DA1"/>
    <w:rsid w:val="00325FE3"/>
    <w:rsid w:val="003260DA"/>
    <w:rsid w:val="003269B6"/>
    <w:rsid w:val="00326D27"/>
    <w:rsid w:val="0032714A"/>
    <w:rsid w:val="0032738C"/>
    <w:rsid w:val="003273BA"/>
    <w:rsid w:val="00327A41"/>
    <w:rsid w:val="00327B2F"/>
    <w:rsid w:val="00327C32"/>
    <w:rsid w:val="00327D6F"/>
    <w:rsid w:val="00330B9D"/>
    <w:rsid w:val="00330BDC"/>
    <w:rsid w:val="00330C34"/>
    <w:rsid w:val="003310C6"/>
    <w:rsid w:val="003313FF"/>
    <w:rsid w:val="00331A0B"/>
    <w:rsid w:val="00332276"/>
    <w:rsid w:val="0033257B"/>
    <w:rsid w:val="0033272D"/>
    <w:rsid w:val="0033295A"/>
    <w:rsid w:val="00332C3E"/>
    <w:rsid w:val="00332CAF"/>
    <w:rsid w:val="00332E7F"/>
    <w:rsid w:val="00333316"/>
    <w:rsid w:val="0033342E"/>
    <w:rsid w:val="0033365F"/>
    <w:rsid w:val="00333B1B"/>
    <w:rsid w:val="00333D5F"/>
    <w:rsid w:val="0033434A"/>
    <w:rsid w:val="00334750"/>
    <w:rsid w:val="00334C79"/>
    <w:rsid w:val="00334C8B"/>
    <w:rsid w:val="00334CB7"/>
    <w:rsid w:val="00334DF7"/>
    <w:rsid w:val="00334F0B"/>
    <w:rsid w:val="003351E8"/>
    <w:rsid w:val="0033520E"/>
    <w:rsid w:val="00335290"/>
    <w:rsid w:val="003352EF"/>
    <w:rsid w:val="003355A3"/>
    <w:rsid w:val="00335CCF"/>
    <w:rsid w:val="00335D9A"/>
    <w:rsid w:val="00336371"/>
    <w:rsid w:val="003363A8"/>
    <w:rsid w:val="00336797"/>
    <w:rsid w:val="00336919"/>
    <w:rsid w:val="00336B62"/>
    <w:rsid w:val="00337123"/>
    <w:rsid w:val="003371EE"/>
    <w:rsid w:val="0033738F"/>
    <w:rsid w:val="003373A3"/>
    <w:rsid w:val="00337C93"/>
    <w:rsid w:val="00337E29"/>
    <w:rsid w:val="00340075"/>
    <w:rsid w:val="0034018C"/>
    <w:rsid w:val="00340632"/>
    <w:rsid w:val="00340DE1"/>
    <w:rsid w:val="00341208"/>
    <w:rsid w:val="003412E6"/>
    <w:rsid w:val="00341764"/>
    <w:rsid w:val="00341774"/>
    <w:rsid w:val="00341AA6"/>
    <w:rsid w:val="00341B9B"/>
    <w:rsid w:val="00341D8A"/>
    <w:rsid w:val="0034227A"/>
    <w:rsid w:val="00342566"/>
    <w:rsid w:val="00342C6F"/>
    <w:rsid w:val="00343350"/>
    <w:rsid w:val="003439F2"/>
    <w:rsid w:val="00343FF5"/>
    <w:rsid w:val="0034412C"/>
    <w:rsid w:val="00344748"/>
    <w:rsid w:val="00344B74"/>
    <w:rsid w:val="00344CAB"/>
    <w:rsid w:val="003450BE"/>
    <w:rsid w:val="003451DF"/>
    <w:rsid w:val="0034536C"/>
    <w:rsid w:val="003455D6"/>
    <w:rsid w:val="00345850"/>
    <w:rsid w:val="003458C7"/>
    <w:rsid w:val="00345981"/>
    <w:rsid w:val="00345BB7"/>
    <w:rsid w:val="00345F98"/>
    <w:rsid w:val="003460C9"/>
    <w:rsid w:val="00346962"/>
    <w:rsid w:val="00346C8A"/>
    <w:rsid w:val="00346F13"/>
    <w:rsid w:val="0034731D"/>
    <w:rsid w:val="00347367"/>
    <w:rsid w:val="0034743B"/>
    <w:rsid w:val="00347457"/>
    <w:rsid w:val="00347514"/>
    <w:rsid w:val="0034766B"/>
    <w:rsid w:val="003477BE"/>
    <w:rsid w:val="00347AF4"/>
    <w:rsid w:val="00347C83"/>
    <w:rsid w:val="00347CAF"/>
    <w:rsid w:val="003504E9"/>
    <w:rsid w:val="0035074D"/>
    <w:rsid w:val="00350790"/>
    <w:rsid w:val="00350795"/>
    <w:rsid w:val="00350A9B"/>
    <w:rsid w:val="00350D66"/>
    <w:rsid w:val="00350E89"/>
    <w:rsid w:val="003510CB"/>
    <w:rsid w:val="00351B9D"/>
    <w:rsid w:val="003523C3"/>
    <w:rsid w:val="00352615"/>
    <w:rsid w:val="0035289A"/>
    <w:rsid w:val="00352BD6"/>
    <w:rsid w:val="00352CEF"/>
    <w:rsid w:val="00352F85"/>
    <w:rsid w:val="00353406"/>
    <w:rsid w:val="00353459"/>
    <w:rsid w:val="003535BB"/>
    <w:rsid w:val="003538EC"/>
    <w:rsid w:val="0035440C"/>
    <w:rsid w:val="0035444D"/>
    <w:rsid w:val="00354455"/>
    <w:rsid w:val="003545D4"/>
    <w:rsid w:val="00354CFF"/>
    <w:rsid w:val="00355390"/>
    <w:rsid w:val="003553D1"/>
    <w:rsid w:val="00355538"/>
    <w:rsid w:val="003557EC"/>
    <w:rsid w:val="00355A07"/>
    <w:rsid w:val="00355AF0"/>
    <w:rsid w:val="00355F3F"/>
    <w:rsid w:val="003564F4"/>
    <w:rsid w:val="00356588"/>
    <w:rsid w:val="00356596"/>
    <w:rsid w:val="003567BB"/>
    <w:rsid w:val="0035690B"/>
    <w:rsid w:val="00356A33"/>
    <w:rsid w:val="00356A7C"/>
    <w:rsid w:val="00356C1F"/>
    <w:rsid w:val="00357345"/>
    <w:rsid w:val="00357389"/>
    <w:rsid w:val="00357447"/>
    <w:rsid w:val="003575AD"/>
    <w:rsid w:val="0035794B"/>
    <w:rsid w:val="00357D15"/>
    <w:rsid w:val="00357EB1"/>
    <w:rsid w:val="003608C5"/>
    <w:rsid w:val="00360A9D"/>
    <w:rsid w:val="00360B05"/>
    <w:rsid w:val="00360BBA"/>
    <w:rsid w:val="00360D13"/>
    <w:rsid w:val="003611D8"/>
    <w:rsid w:val="0036134D"/>
    <w:rsid w:val="003613BA"/>
    <w:rsid w:val="0036215E"/>
    <w:rsid w:val="0036232F"/>
    <w:rsid w:val="003623D0"/>
    <w:rsid w:val="003624F9"/>
    <w:rsid w:val="003629B3"/>
    <w:rsid w:val="00362E08"/>
    <w:rsid w:val="00363060"/>
    <w:rsid w:val="003630B7"/>
    <w:rsid w:val="00363159"/>
    <w:rsid w:val="00363252"/>
    <w:rsid w:val="00363370"/>
    <w:rsid w:val="0036359C"/>
    <w:rsid w:val="003635A4"/>
    <w:rsid w:val="0036366B"/>
    <w:rsid w:val="003636AA"/>
    <w:rsid w:val="00363774"/>
    <w:rsid w:val="0036391B"/>
    <w:rsid w:val="0036391C"/>
    <w:rsid w:val="00363A14"/>
    <w:rsid w:val="00363CEC"/>
    <w:rsid w:val="00363F30"/>
    <w:rsid w:val="00363FC3"/>
    <w:rsid w:val="003644FA"/>
    <w:rsid w:val="0036458A"/>
    <w:rsid w:val="003646AD"/>
    <w:rsid w:val="003647C0"/>
    <w:rsid w:val="003647C3"/>
    <w:rsid w:val="003648A4"/>
    <w:rsid w:val="00364B4B"/>
    <w:rsid w:val="00364E03"/>
    <w:rsid w:val="00364E3D"/>
    <w:rsid w:val="0036507C"/>
    <w:rsid w:val="003655C7"/>
    <w:rsid w:val="003656D3"/>
    <w:rsid w:val="00365844"/>
    <w:rsid w:val="00365885"/>
    <w:rsid w:val="00365891"/>
    <w:rsid w:val="00366321"/>
    <w:rsid w:val="003665C5"/>
    <w:rsid w:val="00366798"/>
    <w:rsid w:val="0036696C"/>
    <w:rsid w:val="00366A9E"/>
    <w:rsid w:val="00366DE9"/>
    <w:rsid w:val="0036701E"/>
    <w:rsid w:val="00367206"/>
    <w:rsid w:val="003678A0"/>
    <w:rsid w:val="00367B42"/>
    <w:rsid w:val="00370008"/>
    <w:rsid w:val="00370027"/>
    <w:rsid w:val="003702B0"/>
    <w:rsid w:val="00370527"/>
    <w:rsid w:val="0037078E"/>
    <w:rsid w:val="00370E26"/>
    <w:rsid w:val="00370EF8"/>
    <w:rsid w:val="003715AF"/>
    <w:rsid w:val="003717FD"/>
    <w:rsid w:val="003718E5"/>
    <w:rsid w:val="00371AA6"/>
    <w:rsid w:val="00371B57"/>
    <w:rsid w:val="00371BFA"/>
    <w:rsid w:val="00371D24"/>
    <w:rsid w:val="00371DDC"/>
    <w:rsid w:val="00371DF6"/>
    <w:rsid w:val="0037201E"/>
    <w:rsid w:val="003720A3"/>
    <w:rsid w:val="003721D8"/>
    <w:rsid w:val="00372235"/>
    <w:rsid w:val="003722FA"/>
    <w:rsid w:val="00372358"/>
    <w:rsid w:val="0037283D"/>
    <w:rsid w:val="00372C45"/>
    <w:rsid w:val="00372EE5"/>
    <w:rsid w:val="003733A9"/>
    <w:rsid w:val="003734CC"/>
    <w:rsid w:val="00373589"/>
    <w:rsid w:val="003735D2"/>
    <w:rsid w:val="003739FB"/>
    <w:rsid w:val="00373EA7"/>
    <w:rsid w:val="003743D6"/>
    <w:rsid w:val="00374D4D"/>
    <w:rsid w:val="00374EB4"/>
    <w:rsid w:val="00375107"/>
    <w:rsid w:val="00375AA7"/>
    <w:rsid w:val="00375F20"/>
    <w:rsid w:val="003763DD"/>
    <w:rsid w:val="00376446"/>
    <w:rsid w:val="0037670A"/>
    <w:rsid w:val="00376B28"/>
    <w:rsid w:val="003770C8"/>
    <w:rsid w:val="00377422"/>
    <w:rsid w:val="00377599"/>
    <w:rsid w:val="003775EC"/>
    <w:rsid w:val="00377C5F"/>
    <w:rsid w:val="003805BC"/>
    <w:rsid w:val="003806C8"/>
    <w:rsid w:val="003807AC"/>
    <w:rsid w:val="00380816"/>
    <w:rsid w:val="00380CC1"/>
    <w:rsid w:val="00380CD8"/>
    <w:rsid w:val="00380DDA"/>
    <w:rsid w:val="00380ECF"/>
    <w:rsid w:val="003815EF"/>
    <w:rsid w:val="003819BA"/>
    <w:rsid w:val="00381B04"/>
    <w:rsid w:val="00381B54"/>
    <w:rsid w:val="00381DD0"/>
    <w:rsid w:val="00382053"/>
    <w:rsid w:val="0038240A"/>
    <w:rsid w:val="0038246C"/>
    <w:rsid w:val="00382765"/>
    <w:rsid w:val="00382922"/>
    <w:rsid w:val="00382F2A"/>
    <w:rsid w:val="00382F40"/>
    <w:rsid w:val="0038315A"/>
    <w:rsid w:val="00383825"/>
    <w:rsid w:val="003838B5"/>
    <w:rsid w:val="003843F1"/>
    <w:rsid w:val="003845FB"/>
    <w:rsid w:val="0038476B"/>
    <w:rsid w:val="003848BA"/>
    <w:rsid w:val="003848F1"/>
    <w:rsid w:val="00384A9D"/>
    <w:rsid w:val="00384DBC"/>
    <w:rsid w:val="00384ECE"/>
    <w:rsid w:val="00385609"/>
    <w:rsid w:val="00385C3D"/>
    <w:rsid w:val="00385DB0"/>
    <w:rsid w:val="00386091"/>
    <w:rsid w:val="003863EC"/>
    <w:rsid w:val="00386435"/>
    <w:rsid w:val="003864D6"/>
    <w:rsid w:val="00386622"/>
    <w:rsid w:val="00386659"/>
    <w:rsid w:val="003866DD"/>
    <w:rsid w:val="003869B9"/>
    <w:rsid w:val="00386B47"/>
    <w:rsid w:val="00386DD7"/>
    <w:rsid w:val="00386E8B"/>
    <w:rsid w:val="00386ED6"/>
    <w:rsid w:val="00386FFF"/>
    <w:rsid w:val="0038717B"/>
    <w:rsid w:val="0038718F"/>
    <w:rsid w:val="00387B67"/>
    <w:rsid w:val="00387CC4"/>
    <w:rsid w:val="00387EB8"/>
    <w:rsid w:val="00387F9D"/>
    <w:rsid w:val="00390163"/>
    <w:rsid w:val="0039048C"/>
    <w:rsid w:val="003906E0"/>
    <w:rsid w:val="0039084A"/>
    <w:rsid w:val="00390C03"/>
    <w:rsid w:val="00390D81"/>
    <w:rsid w:val="00390E60"/>
    <w:rsid w:val="00390FA3"/>
    <w:rsid w:val="003915A0"/>
    <w:rsid w:val="00391A03"/>
    <w:rsid w:val="00391E80"/>
    <w:rsid w:val="00391FB0"/>
    <w:rsid w:val="00392110"/>
    <w:rsid w:val="00392276"/>
    <w:rsid w:val="00392B4B"/>
    <w:rsid w:val="00392E0D"/>
    <w:rsid w:val="00392F08"/>
    <w:rsid w:val="00393248"/>
    <w:rsid w:val="00393444"/>
    <w:rsid w:val="0039358E"/>
    <w:rsid w:val="0039384F"/>
    <w:rsid w:val="00393C5A"/>
    <w:rsid w:val="003940DB"/>
    <w:rsid w:val="003946C5"/>
    <w:rsid w:val="00394812"/>
    <w:rsid w:val="00394895"/>
    <w:rsid w:val="00394B11"/>
    <w:rsid w:val="00394E5E"/>
    <w:rsid w:val="003950B0"/>
    <w:rsid w:val="003951A6"/>
    <w:rsid w:val="0039553D"/>
    <w:rsid w:val="003955B7"/>
    <w:rsid w:val="00395838"/>
    <w:rsid w:val="00395D81"/>
    <w:rsid w:val="00395E49"/>
    <w:rsid w:val="00396131"/>
    <w:rsid w:val="003964C8"/>
    <w:rsid w:val="00396894"/>
    <w:rsid w:val="003969C7"/>
    <w:rsid w:val="00396A87"/>
    <w:rsid w:val="00396AD6"/>
    <w:rsid w:val="003970D3"/>
    <w:rsid w:val="003977FD"/>
    <w:rsid w:val="00397802"/>
    <w:rsid w:val="0039783F"/>
    <w:rsid w:val="00397CA6"/>
    <w:rsid w:val="003A0A58"/>
    <w:rsid w:val="003A0B50"/>
    <w:rsid w:val="003A0D48"/>
    <w:rsid w:val="003A1024"/>
    <w:rsid w:val="003A1293"/>
    <w:rsid w:val="003A1295"/>
    <w:rsid w:val="003A14CA"/>
    <w:rsid w:val="003A14EC"/>
    <w:rsid w:val="003A1A31"/>
    <w:rsid w:val="003A1A7B"/>
    <w:rsid w:val="003A1A8F"/>
    <w:rsid w:val="003A1B68"/>
    <w:rsid w:val="003A1C02"/>
    <w:rsid w:val="003A1C9D"/>
    <w:rsid w:val="003A20EE"/>
    <w:rsid w:val="003A2632"/>
    <w:rsid w:val="003A2AB7"/>
    <w:rsid w:val="003A2BE4"/>
    <w:rsid w:val="003A3258"/>
    <w:rsid w:val="003A348C"/>
    <w:rsid w:val="003A360C"/>
    <w:rsid w:val="003A3A5F"/>
    <w:rsid w:val="003A3CF3"/>
    <w:rsid w:val="003A3F63"/>
    <w:rsid w:val="003A4122"/>
    <w:rsid w:val="003A4273"/>
    <w:rsid w:val="003A4712"/>
    <w:rsid w:val="003A4775"/>
    <w:rsid w:val="003A49DF"/>
    <w:rsid w:val="003A53D2"/>
    <w:rsid w:val="003A5774"/>
    <w:rsid w:val="003A5876"/>
    <w:rsid w:val="003A62E8"/>
    <w:rsid w:val="003A6F02"/>
    <w:rsid w:val="003A6F7C"/>
    <w:rsid w:val="003A7217"/>
    <w:rsid w:val="003A7287"/>
    <w:rsid w:val="003A759F"/>
    <w:rsid w:val="003A769E"/>
    <w:rsid w:val="003A7A64"/>
    <w:rsid w:val="003B01A8"/>
    <w:rsid w:val="003B0263"/>
    <w:rsid w:val="003B05E7"/>
    <w:rsid w:val="003B085B"/>
    <w:rsid w:val="003B08EF"/>
    <w:rsid w:val="003B0968"/>
    <w:rsid w:val="003B0EC4"/>
    <w:rsid w:val="003B1472"/>
    <w:rsid w:val="003B1815"/>
    <w:rsid w:val="003B1838"/>
    <w:rsid w:val="003B1AAD"/>
    <w:rsid w:val="003B1AB9"/>
    <w:rsid w:val="003B2395"/>
    <w:rsid w:val="003B240D"/>
    <w:rsid w:val="003B2465"/>
    <w:rsid w:val="003B284C"/>
    <w:rsid w:val="003B2B05"/>
    <w:rsid w:val="003B2C42"/>
    <w:rsid w:val="003B2CE8"/>
    <w:rsid w:val="003B2E71"/>
    <w:rsid w:val="003B2F6E"/>
    <w:rsid w:val="003B3625"/>
    <w:rsid w:val="003B3662"/>
    <w:rsid w:val="003B3D49"/>
    <w:rsid w:val="003B3D73"/>
    <w:rsid w:val="003B3E85"/>
    <w:rsid w:val="003B4110"/>
    <w:rsid w:val="003B42E2"/>
    <w:rsid w:val="003B46D2"/>
    <w:rsid w:val="003B4934"/>
    <w:rsid w:val="003B49F7"/>
    <w:rsid w:val="003B4D00"/>
    <w:rsid w:val="003B4E83"/>
    <w:rsid w:val="003B5005"/>
    <w:rsid w:val="003B5243"/>
    <w:rsid w:val="003B55DB"/>
    <w:rsid w:val="003B57FC"/>
    <w:rsid w:val="003B5B6E"/>
    <w:rsid w:val="003B5B96"/>
    <w:rsid w:val="003B5CED"/>
    <w:rsid w:val="003B5DC0"/>
    <w:rsid w:val="003B5EE0"/>
    <w:rsid w:val="003B65B3"/>
    <w:rsid w:val="003B691C"/>
    <w:rsid w:val="003B6D0C"/>
    <w:rsid w:val="003B774C"/>
    <w:rsid w:val="003B7999"/>
    <w:rsid w:val="003B7CA7"/>
    <w:rsid w:val="003B7D9D"/>
    <w:rsid w:val="003C00DF"/>
    <w:rsid w:val="003C0439"/>
    <w:rsid w:val="003C0754"/>
    <w:rsid w:val="003C089C"/>
    <w:rsid w:val="003C0A87"/>
    <w:rsid w:val="003C0BFF"/>
    <w:rsid w:val="003C12FB"/>
    <w:rsid w:val="003C1308"/>
    <w:rsid w:val="003C16BD"/>
    <w:rsid w:val="003C22AE"/>
    <w:rsid w:val="003C22DB"/>
    <w:rsid w:val="003C287A"/>
    <w:rsid w:val="003C29A2"/>
    <w:rsid w:val="003C2A65"/>
    <w:rsid w:val="003C2AFE"/>
    <w:rsid w:val="003C2C16"/>
    <w:rsid w:val="003C2CB2"/>
    <w:rsid w:val="003C2E94"/>
    <w:rsid w:val="003C2EE2"/>
    <w:rsid w:val="003C33DE"/>
    <w:rsid w:val="003C33F9"/>
    <w:rsid w:val="003C388A"/>
    <w:rsid w:val="003C38BC"/>
    <w:rsid w:val="003C3B5A"/>
    <w:rsid w:val="003C3C2A"/>
    <w:rsid w:val="003C40FC"/>
    <w:rsid w:val="003C4502"/>
    <w:rsid w:val="003C4799"/>
    <w:rsid w:val="003C4962"/>
    <w:rsid w:val="003C4963"/>
    <w:rsid w:val="003C4FD0"/>
    <w:rsid w:val="003C5477"/>
    <w:rsid w:val="003C59C7"/>
    <w:rsid w:val="003C6216"/>
    <w:rsid w:val="003C654D"/>
    <w:rsid w:val="003C65D0"/>
    <w:rsid w:val="003C665F"/>
    <w:rsid w:val="003C69A7"/>
    <w:rsid w:val="003C6B08"/>
    <w:rsid w:val="003C6C60"/>
    <w:rsid w:val="003C6FB2"/>
    <w:rsid w:val="003C70F7"/>
    <w:rsid w:val="003C731C"/>
    <w:rsid w:val="003C7773"/>
    <w:rsid w:val="003C789C"/>
    <w:rsid w:val="003C7BC6"/>
    <w:rsid w:val="003C7CE5"/>
    <w:rsid w:val="003D00EF"/>
    <w:rsid w:val="003D02F9"/>
    <w:rsid w:val="003D0509"/>
    <w:rsid w:val="003D06EA"/>
    <w:rsid w:val="003D0A3F"/>
    <w:rsid w:val="003D11BD"/>
    <w:rsid w:val="003D14AD"/>
    <w:rsid w:val="003D15E8"/>
    <w:rsid w:val="003D1794"/>
    <w:rsid w:val="003D1933"/>
    <w:rsid w:val="003D1A95"/>
    <w:rsid w:val="003D1BDF"/>
    <w:rsid w:val="003D1DE1"/>
    <w:rsid w:val="003D1EE9"/>
    <w:rsid w:val="003D2089"/>
    <w:rsid w:val="003D20DE"/>
    <w:rsid w:val="003D27DA"/>
    <w:rsid w:val="003D2844"/>
    <w:rsid w:val="003D2890"/>
    <w:rsid w:val="003D298E"/>
    <w:rsid w:val="003D2A88"/>
    <w:rsid w:val="003D2B78"/>
    <w:rsid w:val="003D2CCB"/>
    <w:rsid w:val="003D2D27"/>
    <w:rsid w:val="003D2F33"/>
    <w:rsid w:val="003D2F58"/>
    <w:rsid w:val="003D31EC"/>
    <w:rsid w:val="003D3C60"/>
    <w:rsid w:val="003D3CEC"/>
    <w:rsid w:val="003D3F65"/>
    <w:rsid w:val="003D4163"/>
    <w:rsid w:val="003D440F"/>
    <w:rsid w:val="003D446A"/>
    <w:rsid w:val="003D46CE"/>
    <w:rsid w:val="003D49E9"/>
    <w:rsid w:val="003D4CD5"/>
    <w:rsid w:val="003D512A"/>
    <w:rsid w:val="003D51C8"/>
    <w:rsid w:val="003D51CE"/>
    <w:rsid w:val="003D53C2"/>
    <w:rsid w:val="003D5C25"/>
    <w:rsid w:val="003D5F36"/>
    <w:rsid w:val="003D608D"/>
    <w:rsid w:val="003D61DB"/>
    <w:rsid w:val="003D6239"/>
    <w:rsid w:val="003D66FA"/>
    <w:rsid w:val="003D6772"/>
    <w:rsid w:val="003D6C05"/>
    <w:rsid w:val="003D7248"/>
    <w:rsid w:val="003D745A"/>
    <w:rsid w:val="003D748D"/>
    <w:rsid w:val="003D7AED"/>
    <w:rsid w:val="003E0A41"/>
    <w:rsid w:val="003E0B97"/>
    <w:rsid w:val="003E0F25"/>
    <w:rsid w:val="003E0F91"/>
    <w:rsid w:val="003E12CE"/>
    <w:rsid w:val="003E1355"/>
    <w:rsid w:val="003E17D5"/>
    <w:rsid w:val="003E1895"/>
    <w:rsid w:val="003E1B88"/>
    <w:rsid w:val="003E2056"/>
    <w:rsid w:val="003E215A"/>
    <w:rsid w:val="003E222D"/>
    <w:rsid w:val="003E236E"/>
    <w:rsid w:val="003E24CA"/>
    <w:rsid w:val="003E250C"/>
    <w:rsid w:val="003E2725"/>
    <w:rsid w:val="003E27E8"/>
    <w:rsid w:val="003E294A"/>
    <w:rsid w:val="003E2CA9"/>
    <w:rsid w:val="003E2E34"/>
    <w:rsid w:val="003E32A6"/>
    <w:rsid w:val="003E36D4"/>
    <w:rsid w:val="003E37EB"/>
    <w:rsid w:val="003E3893"/>
    <w:rsid w:val="003E3998"/>
    <w:rsid w:val="003E3B7B"/>
    <w:rsid w:val="003E41CE"/>
    <w:rsid w:val="003E4240"/>
    <w:rsid w:val="003E4331"/>
    <w:rsid w:val="003E4C78"/>
    <w:rsid w:val="003E4CC1"/>
    <w:rsid w:val="003E5723"/>
    <w:rsid w:val="003E580A"/>
    <w:rsid w:val="003E5B67"/>
    <w:rsid w:val="003E5BE7"/>
    <w:rsid w:val="003E5F71"/>
    <w:rsid w:val="003E658F"/>
    <w:rsid w:val="003E6880"/>
    <w:rsid w:val="003E6DCE"/>
    <w:rsid w:val="003E7157"/>
    <w:rsid w:val="003E728E"/>
    <w:rsid w:val="003E754B"/>
    <w:rsid w:val="003E758A"/>
    <w:rsid w:val="003E7663"/>
    <w:rsid w:val="003E77FF"/>
    <w:rsid w:val="003E7851"/>
    <w:rsid w:val="003E7C70"/>
    <w:rsid w:val="003F0306"/>
    <w:rsid w:val="003F037C"/>
    <w:rsid w:val="003F0421"/>
    <w:rsid w:val="003F06C4"/>
    <w:rsid w:val="003F0A43"/>
    <w:rsid w:val="003F0EFB"/>
    <w:rsid w:val="003F145A"/>
    <w:rsid w:val="003F1554"/>
    <w:rsid w:val="003F1804"/>
    <w:rsid w:val="003F1E72"/>
    <w:rsid w:val="003F2737"/>
    <w:rsid w:val="003F2A0A"/>
    <w:rsid w:val="003F2A6B"/>
    <w:rsid w:val="003F2A88"/>
    <w:rsid w:val="003F2A99"/>
    <w:rsid w:val="003F2C73"/>
    <w:rsid w:val="003F31A9"/>
    <w:rsid w:val="003F3213"/>
    <w:rsid w:val="003F3357"/>
    <w:rsid w:val="003F3795"/>
    <w:rsid w:val="003F3799"/>
    <w:rsid w:val="003F382B"/>
    <w:rsid w:val="003F3E0D"/>
    <w:rsid w:val="003F44B1"/>
    <w:rsid w:val="003F44C6"/>
    <w:rsid w:val="003F4727"/>
    <w:rsid w:val="003F488E"/>
    <w:rsid w:val="003F496E"/>
    <w:rsid w:val="003F49AF"/>
    <w:rsid w:val="003F4D81"/>
    <w:rsid w:val="003F4F6D"/>
    <w:rsid w:val="003F5232"/>
    <w:rsid w:val="003F530B"/>
    <w:rsid w:val="003F54B1"/>
    <w:rsid w:val="003F5BD3"/>
    <w:rsid w:val="003F61F7"/>
    <w:rsid w:val="003F6337"/>
    <w:rsid w:val="003F663A"/>
    <w:rsid w:val="003F6658"/>
    <w:rsid w:val="003F679D"/>
    <w:rsid w:val="003F6A28"/>
    <w:rsid w:val="003F6E78"/>
    <w:rsid w:val="003F6EE3"/>
    <w:rsid w:val="003F7118"/>
    <w:rsid w:val="003F7182"/>
    <w:rsid w:val="003F71C4"/>
    <w:rsid w:val="003F7A56"/>
    <w:rsid w:val="003F7F63"/>
    <w:rsid w:val="004004E1"/>
    <w:rsid w:val="00400759"/>
    <w:rsid w:val="00400769"/>
    <w:rsid w:val="004007A0"/>
    <w:rsid w:val="0040089A"/>
    <w:rsid w:val="00400BCD"/>
    <w:rsid w:val="00400E49"/>
    <w:rsid w:val="00400E4F"/>
    <w:rsid w:val="00400E79"/>
    <w:rsid w:val="0040156A"/>
    <w:rsid w:val="00401879"/>
    <w:rsid w:val="00401C48"/>
    <w:rsid w:val="00401F29"/>
    <w:rsid w:val="004020C2"/>
    <w:rsid w:val="00402220"/>
    <w:rsid w:val="0040247C"/>
    <w:rsid w:val="004024C0"/>
    <w:rsid w:val="0040285A"/>
    <w:rsid w:val="004029C2"/>
    <w:rsid w:val="00402B1A"/>
    <w:rsid w:val="00402CA3"/>
    <w:rsid w:val="00402F20"/>
    <w:rsid w:val="004030A5"/>
    <w:rsid w:val="004036A1"/>
    <w:rsid w:val="004041BA"/>
    <w:rsid w:val="00404245"/>
    <w:rsid w:val="004043DB"/>
    <w:rsid w:val="004043EC"/>
    <w:rsid w:val="00404923"/>
    <w:rsid w:val="004049FA"/>
    <w:rsid w:val="00404B59"/>
    <w:rsid w:val="00404C00"/>
    <w:rsid w:val="00404CA3"/>
    <w:rsid w:val="004050DA"/>
    <w:rsid w:val="00405240"/>
    <w:rsid w:val="00405565"/>
    <w:rsid w:val="00405626"/>
    <w:rsid w:val="00405689"/>
    <w:rsid w:val="004057AD"/>
    <w:rsid w:val="00405804"/>
    <w:rsid w:val="00405879"/>
    <w:rsid w:val="00405947"/>
    <w:rsid w:val="00405B4A"/>
    <w:rsid w:val="00405D1C"/>
    <w:rsid w:val="00405FD2"/>
    <w:rsid w:val="00406678"/>
    <w:rsid w:val="00406CA6"/>
    <w:rsid w:val="0040714F"/>
    <w:rsid w:val="004071A2"/>
    <w:rsid w:val="0040733A"/>
    <w:rsid w:val="004075BD"/>
    <w:rsid w:val="004077D8"/>
    <w:rsid w:val="00407A98"/>
    <w:rsid w:val="00407DD6"/>
    <w:rsid w:val="00407E13"/>
    <w:rsid w:val="00410094"/>
    <w:rsid w:val="0041036B"/>
    <w:rsid w:val="0041061D"/>
    <w:rsid w:val="00410A34"/>
    <w:rsid w:val="00410A55"/>
    <w:rsid w:val="00411021"/>
    <w:rsid w:val="00411278"/>
    <w:rsid w:val="004114B7"/>
    <w:rsid w:val="0041186C"/>
    <w:rsid w:val="00411EA7"/>
    <w:rsid w:val="00411EE5"/>
    <w:rsid w:val="004120E6"/>
    <w:rsid w:val="00412297"/>
    <w:rsid w:val="0041233E"/>
    <w:rsid w:val="004125B2"/>
    <w:rsid w:val="00412AE6"/>
    <w:rsid w:val="00412B3E"/>
    <w:rsid w:val="00412C3F"/>
    <w:rsid w:val="00413025"/>
    <w:rsid w:val="0041311E"/>
    <w:rsid w:val="00413696"/>
    <w:rsid w:val="00413811"/>
    <w:rsid w:val="00413FB3"/>
    <w:rsid w:val="00414437"/>
    <w:rsid w:val="00414556"/>
    <w:rsid w:val="004148FA"/>
    <w:rsid w:val="00414BF3"/>
    <w:rsid w:val="00415076"/>
    <w:rsid w:val="0041513A"/>
    <w:rsid w:val="00415150"/>
    <w:rsid w:val="00415175"/>
    <w:rsid w:val="004154C0"/>
    <w:rsid w:val="004154FA"/>
    <w:rsid w:val="00415513"/>
    <w:rsid w:val="0041576D"/>
    <w:rsid w:val="00415A9D"/>
    <w:rsid w:val="00415AA9"/>
    <w:rsid w:val="0041649B"/>
    <w:rsid w:val="00416640"/>
    <w:rsid w:val="004167B0"/>
    <w:rsid w:val="004168CE"/>
    <w:rsid w:val="004169C6"/>
    <w:rsid w:val="00417D8A"/>
    <w:rsid w:val="00417DA1"/>
    <w:rsid w:val="00417EF8"/>
    <w:rsid w:val="00417FBD"/>
    <w:rsid w:val="00420190"/>
    <w:rsid w:val="0042032F"/>
    <w:rsid w:val="0042034B"/>
    <w:rsid w:val="0042063B"/>
    <w:rsid w:val="00420BA4"/>
    <w:rsid w:val="00420EB0"/>
    <w:rsid w:val="00421389"/>
    <w:rsid w:val="00421452"/>
    <w:rsid w:val="004217B5"/>
    <w:rsid w:val="00421B79"/>
    <w:rsid w:val="00421D53"/>
    <w:rsid w:val="00422404"/>
    <w:rsid w:val="00422528"/>
    <w:rsid w:val="00422BD7"/>
    <w:rsid w:val="004233CA"/>
    <w:rsid w:val="004235FF"/>
    <w:rsid w:val="004239AD"/>
    <w:rsid w:val="00423B2F"/>
    <w:rsid w:val="00424575"/>
    <w:rsid w:val="00424763"/>
    <w:rsid w:val="00424A4C"/>
    <w:rsid w:val="0042565C"/>
    <w:rsid w:val="004256B0"/>
    <w:rsid w:val="004259CF"/>
    <w:rsid w:val="00425C7E"/>
    <w:rsid w:val="00425D2D"/>
    <w:rsid w:val="00425EC9"/>
    <w:rsid w:val="0042615D"/>
    <w:rsid w:val="004262AD"/>
    <w:rsid w:val="00427015"/>
    <w:rsid w:val="00427066"/>
    <w:rsid w:val="00427156"/>
    <w:rsid w:val="004274DA"/>
    <w:rsid w:val="0042797D"/>
    <w:rsid w:val="00427BC2"/>
    <w:rsid w:val="0043004B"/>
    <w:rsid w:val="00430200"/>
    <w:rsid w:val="0043066C"/>
    <w:rsid w:val="0043069C"/>
    <w:rsid w:val="00430711"/>
    <w:rsid w:val="00430E5F"/>
    <w:rsid w:val="00430FBE"/>
    <w:rsid w:val="00430FD9"/>
    <w:rsid w:val="00431142"/>
    <w:rsid w:val="00431577"/>
    <w:rsid w:val="00431586"/>
    <w:rsid w:val="0043170E"/>
    <w:rsid w:val="00431D20"/>
    <w:rsid w:val="00431E0A"/>
    <w:rsid w:val="00431F9C"/>
    <w:rsid w:val="00431FEE"/>
    <w:rsid w:val="00432324"/>
    <w:rsid w:val="0043233D"/>
    <w:rsid w:val="00433121"/>
    <w:rsid w:val="0043317D"/>
    <w:rsid w:val="00433399"/>
    <w:rsid w:val="00433D78"/>
    <w:rsid w:val="00433F59"/>
    <w:rsid w:val="00434335"/>
    <w:rsid w:val="004344FF"/>
    <w:rsid w:val="00434A5F"/>
    <w:rsid w:val="00434ABC"/>
    <w:rsid w:val="004351A0"/>
    <w:rsid w:val="0043538A"/>
    <w:rsid w:val="00435588"/>
    <w:rsid w:val="00435B9F"/>
    <w:rsid w:val="00435ED5"/>
    <w:rsid w:val="004361D6"/>
    <w:rsid w:val="0043621E"/>
    <w:rsid w:val="0043628A"/>
    <w:rsid w:val="0043657F"/>
    <w:rsid w:val="004366FD"/>
    <w:rsid w:val="0043670B"/>
    <w:rsid w:val="004367DB"/>
    <w:rsid w:val="00436A2D"/>
    <w:rsid w:val="00436D4E"/>
    <w:rsid w:val="00436EAA"/>
    <w:rsid w:val="00436F8F"/>
    <w:rsid w:val="00436FC4"/>
    <w:rsid w:val="00437097"/>
    <w:rsid w:val="004371E9"/>
    <w:rsid w:val="00437347"/>
    <w:rsid w:val="0043754C"/>
    <w:rsid w:val="004375B8"/>
    <w:rsid w:val="00437719"/>
    <w:rsid w:val="00437979"/>
    <w:rsid w:val="00437BD4"/>
    <w:rsid w:val="00437C62"/>
    <w:rsid w:val="00440030"/>
    <w:rsid w:val="0044009B"/>
    <w:rsid w:val="00440100"/>
    <w:rsid w:val="00440310"/>
    <w:rsid w:val="00440341"/>
    <w:rsid w:val="004409AB"/>
    <w:rsid w:val="00440C94"/>
    <w:rsid w:val="00441369"/>
    <w:rsid w:val="0044156B"/>
    <w:rsid w:val="0044195A"/>
    <w:rsid w:val="00441C2C"/>
    <w:rsid w:val="00441C6A"/>
    <w:rsid w:val="00442064"/>
    <w:rsid w:val="004420A2"/>
    <w:rsid w:val="004423D6"/>
    <w:rsid w:val="00442409"/>
    <w:rsid w:val="00442515"/>
    <w:rsid w:val="00442569"/>
    <w:rsid w:val="00442976"/>
    <w:rsid w:val="00442B88"/>
    <w:rsid w:val="00442DB3"/>
    <w:rsid w:val="00442F5C"/>
    <w:rsid w:val="0044308D"/>
    <w:rsid w:val="0044313D"/>
    <w:rsid w:val="00443297"/>
    <w:rsid w:val="00443728"/>
    <w:rsid w:val="00443C0B"/>
    <w:rsid w:val="00443DA1"/>
    <w:rsid w:val="00443F9A"/>
    <w:rsid w:val="0044418C"/>
    <w:rsid w:val="00444244"/>
    <w:rsid w:val="00444852"/>
    <w:rsid w:val="004449BD"/>
    <w:rsid w:val="00444CF5"/>
    <w:rsid w:val="00444DD3"/>
    <w:rsid w:val="00444E4F"/>
    <w:rsid w:val="00444EC1"/>
    <w:rsid w:val="00444EF3"/>
    <w:rsid w:val="00444F99"/>
    <w:rsid w:val="004452D3"/>
    <w:rsid w:val="00445414"/>
    <w:rsid w:val="0044582E"/>
    <w:rsid w:val="004459A2"/>
    <w:rsid w:val="004459DE"/>
    <w:rsid w:val="00445AA9"/>
    <w:rsid w:val="00445AAE"/>
    <w:rsid w:val="00445BF4"/>
    <w:rsid w:val="00446010"/>
    <w:rsid w:val="004465B3"/>
    <w:rsid w:val="0044690C"/>
    <w:rsid w:val="00446C04"/>
    <w:rsid w:val="00447102"/>
    <w:rsid w:val="004471A5"/>
    <w:rsid w:val="0044750A"/>
    <w:rsid w:val="0044763C"/>
    <w:rsid w:val="0044789B"/>
    <w:rsid w:val="004478CB"/>
    <w:rsid w:val="00447901"/>
    <w:rsid w:val="00447A62"/>
    <w:rsid w:val="00447BDF"/>
    <w:rsid w:val="00447F46"/>
    <w:rsid w:val="004507E3"/>
    <w:rsid w:val="00450D4C"/>
    <w:rsid w:val="00450EB1"/>
    <w:rsid w:val="004510F4"/>
    <w:rsid w:val="00451330"/>
    <w:rsid w:val="00451658"/>
    <w:rsid w:val="00451962"/>
    <w:rsid w:val="00451A62"/>
    <w:rsid w:val="00451B1E"/>
    <w:rsid w:val="00451F18"/>
    <w:rsid w:val="00451F4D"/>
    <w:rsid w:val="0045247D"/>
    <w:rsid w:val="0045290C"/>
    <w:rsid w:val="00452D65"/>
    <w:rsid w:val="00452EEF"/>
    <w:rsid w:val="00453011"/>
    <w:rsid w:val="004537F0"/>
    <w:rsid w:val="004538D7"/>
    <w:rsid w:val="00453B52"/>
    <w:rsid w:val="00453CEF"/>
    <w:rsid w:val="004544F6"/>
    <w:rsid w:val="00454538"/>
    <w:rsid w:val="00454F96"/>
    <w:rsid w:val="0045541C"/>
    <w:rsid w:val="004556A4"/>
    <w:rsid w:val="004556C7"/>
    <w:rsid w:val="0045576A"/>
    <w:rsid w:val="0045600E"/>
    <w:rsid w:val="004561F5"/>
    <w:rsid w:val="004562A7"/>
    <w:rsid w:val="0045632E"/>
    <w:rsid w:val="00456426"/>
    <w:rsid w:val="00456493"/>
    <w:rsid w:val="00456512"/>
    <w:rsid w:val="00456597"/>
    <w:rsid w:val="00456705"/>
    <w:rsid w:val="00456799"/>
    <w:rsid w:val="004567EF"/>
    <w:rsid w:val="00456B85"/>
    <w:rsid w:val="00456D45"/>
    <w:rsid w:val="004575C8"/>
    <w:rsid w:val="00457D8C"/>
    <w:rsid w:val="004601BC"/>
    <w:rsid w:val="004604E8"/>
    <w:rsid w:val="00460609"/>
    <w:rsid w:val="004608D4"/>
    <w:rsid w:val="00460B33"/>
    <w:rsid w:val="0046106E"/>
    <w:rsid w:val="00461257"/>
    <w:rsid w:val="004615C7"/>
    <w:rsid w:val="00461849"/>
    <w:rsid w:val="00461A2D"/>
    <w:rsid w:val="00461EA6"/>
    <w:rsid w:val="004625F1"/>
    <w:rsid w:val="00462B79"/>
    <w:rsid w:val="00462D2E"/>
    <w:rsid w:val="0046305A"/>
    <w:rsid w:val="00463356"/>
    <w:rsid w:val="00463695"/>
    <w:rsid w:val="00463994"/>
    <w:rsid w:val="00463AF0"/>
    <w:rsid w:val="0046409D"/>
    <w:rsid w:val="004641A1"/>
    <w:rsid w:val="0046471C"/>
    <w:rsid w:val="00464A4F"/>
    <w:rsid w:val="00464A9D"/>
    <w:rsid w:val="00464AFA"/>
    <w:rsid w:val="00464FBA"/>
    <w:rsid w:val="00465093"/>
    <w:rsid w:val="00465100"/>
    <w:rsid w:val="004652BA"/>
    <w:rsid w:val="0046555C"/>
    <w:rsid w:val="004655DA"/>
    <w:rsid w:val="0046576C"/>
    <w:rsid w:val="00465786"/>
    <w:rsid w:val="004658F0"/>
    <w:rsid w:val="004659B7"/>
    <w:rsid w:val="00465B95"/>
    <w:rsid w:val="00465CB8"/>
    <w:rsid w:val="00465D57"/>
    <w:rsid w:val="004660D9"/>
    <w:rsid w:val="00466744"/>
    <w:rsid w:val="00466985"/>
    <w:rsid w:val="004669AE"/>
    <w:rsid w:val="00466A57"/>
    <w:rsid w:val="00466A77"/>
    <w:rsid w:val="00466BBC"/>
    <w:rsid w:val="00466EB1"/>
    <w:rsid w:val="004672D0"/>
    <w:rsid w:val="00467593"/>
    <w:rsid w:val="0046765A"/>
    <w:rsid w:val="00467AF0"/>
    <w:rsid w:val="00467E00"/>
    <w:rsid w:val="00470384"/>
    <w:rsid w:val="004703E1"/>
    <w:rsid w:val="00470698"/>
    <w:rsid w:val="00470716"/>
    <w:rsid w:val="00470768"/>
    <w:rsid w:val="00470D3C"/>
    <w:rsid w:val="00470F76"/>
    <w:rsid w:val="00471265"/>
    <w:rsid w:val="00471323"/>
    <w:rsid w:val="004713BA"/>
    <w:rsid w:val="00471909"/>
    <w:rsid w:val="00471944"/>
    <w:rsid w:val="00471B0C"/>
    <w:rsid w:val="00471E2D"/>
    <w:rsid w:val="00471FC1"/>
    <w:rsid w:val="00472197"/>
    <w:rsid w:val="00472210"/>
    <w:rsid w:val="0047248E"/>
    <w:rsid w:val="0047299D"/>
    <w:rsid w:val="00472B8B"/>
    <w:rsid w:val="00472C9E"/>
    <w:rsid w:val="00472D6C"/>
    <w:rsid w:val="0047310D"/>
    <w:rsid w:val="004732A5"/>
    <w:rsid w:val="004732EF"/>
    <w:rsid w:val="004734E3"/>
    <w:rsid w:val="0047355C"/>
    <w:rsid w:val="004735F1"/>
    <w:rsid w:val="004736BB"/>
    <w:rsid w:val="00473B0A"/>
    <w:rsid w:val="00473BEC"/>
    <w:rsid w:val="004741D8"/>
    <w:rsid w:val="004745A3"/>
    <w:rsid w:val="00474938"/>
    <w:rsid w:val="00474C90"/>
    <w:rsid w:val="00474F41"/>
    <w:rsid w:val="004750A3"/>
    <w:rsid w:val="0047516B"/>
    <w:rsid w:val="0047524C"/>
    <w:rsid w:val="00475710"/>
    <w:rsid w:val="00475B13"/>
    <w:rsid w:val="00475D06"/>
    <w:rsid w:val="00475F6B"/>
    <w:rsid w:val="0047617F"/>
    <w:rsid w:val="00476439"/>
    <w:rsid w:val="004767FB"/>
    <w:rsid w:val="004769D1"/>
    <w:rsid w:val="00476EEE"/>
    <w:rsid w:val="00476F2F"/>
    <w:rsid w:val="004772D1"/>
    <w:rsid w:val="00477436"/>
    <w:rsid w:val="00477A67"/>
    <w:rsid w:val="00477A88"/>
    <w:rsid w:val="00477D9D"/>
    <w:rsid w:val="00477EF9"/>
    <w:rsid w:val="00480509"/>
    <w:rsid w:val="00480722"/>
    <w:rsid w:val="0048094B"/>
    <w:rsid w:val="004809BA"/>
    <w:rsid w:val="00480AF4"/>
    <w:rsid w:val="004811FF"/>
    <w:rsid w:val="0048147B"/>
    <w:rsid w:val="0048160E"/>
    <w:rsid w:val="00481664"/>
    <w:rsid w:val="00481702"/>
    <w:rsid w:val="0048171E"/>
    <w:rsid w:val="00481910"/>
    <w:rsid w:val="00481BC2"/>
    <w:rsid w:val="00482250"/>
    <w:rsid w:val="004833CE"/>
    <w:rsid w:val="00483491"/>
    <w:rsid w:val="00483649"/>
    <w:rsid w:val="0048365D"/>
    <w:rsid w:val="004836B5"/>
    <w:rsid w:val="00483C40"/>
    <w:rsid w:val="00483EC4"/>
    <w:rsid w:val="00483FB2"/>
    <w:rsid w:val="0048412E"/>
    <w:rsid w:val="00484383"/>
    <w:rsid w:val="00484407"/>
    <w:rsid w:val="00484953"/>
    <w:rsid w:val="00484BB8"/>
    <w:rsid w:val="00484CC4"/>
    <w:rsid w:val="00484D5E"/>
    <w:rsid w:val="00484D77"/>
    <w:rsid w:val="00484EC1"/>
    <w:rsid w:val="0048525A"/>
    <w:rsid w:val="004852EA"/>
    <w:rsid w:val="00485321"/>
    <w:rsid w:val="00485328"/>
    <w:rsid w:val="00485334"/>
    <w:rsid w:val="00485C21"/>
    <w:rsid w:val="00485EBD"/>
    <w:rsid w:val="00486209"/>
    <w:rsid w:val="00486304"/>
    <w:rsid w:val="00486A05"/>
    <w:rsid w:val="00486E5F"/>
    <w:rsid w:val="00486E7A"/>
    <w:rsid w:val="00486FE7"/>
    <w:rsid w:val="004870CD"/>
    <w:rsid w:val="0048720E"/>
    <w:rsid w:val="00487254"/>
    <w:rsid w:val="00487270"/>
    <w:rsid w:val="00487739"/>
    <w:rsid w:val="00487C3D"/>
    <w:rsid w:val="0049041A"/>
    <w:rsid w:val="0049043F"/>
    <w:rsid w:val="004904EF"/>
    <w:rsid w:val="00490569"/>
    <w:rsid w:val="00490FA6"/>
    <w:rsid w:val="00491093"/>
    <w:rsid w:val="004915AE"/>
    <w:rsid w:val="004915CA"/>
    <w:rsid w:val="00491977"/>
    <w:rsid w:val="00491AAF"/>
    <w:rsid w:val="00491C98"/>
    <w:rsid w:val="00491F05"/>
    <w:rsid w:val="00491FB5"/>
    <w:rsid w:val="00492236"/>
    <w:rsid w:val="00492926"/>
    <w:rsid w:val="004930DD"/>
    <w:rsid w:val="004931D7"/>
    <w:rsid w:val="004931FF"/>
    <w:rsid w:val="00493C84"/>
    <w:rsid w:val="00493D2F"/>
    <w:rsid w:val="00493EB9"/>
    <w:rsid w:val="0049431F"/>
    <w:rsid w:val="0049440B"/>
    <w:rsid w:val="0049468B"/>
    <w:rsid w:val="00494840"/>
    <w:rsid w:val="00494C16"/>
    <w:rsid w:val="00494E23"/>
    <w:rsid w:val="00494E9F"/>
    <w:rsid w:val="00495461"/>
    <w:rsid w:val="0049547B"/>
    <w:rsid w:val="0049569D"/>
    <w:rsid w:val="0049579F"/>
    <w:rsid w:val="0049580D"/>
    <w:rsid w:val="00495967"/>
    <w:rsid w:val="004959B0"/>
    <w:rsid w:val="00495C89"/>
    <w:rsid w:val="00495D4F"/>
    <w:rsid w:val="00495DF0"/>
    <w:rsid w:val="00495E18"/>
    <w:rsid w:val="00495FBE"/>
    <w:rsid w:val="00495FDC"/>
    <w:rsid w:val="00496324"/>
    <w:rsid w:val="0049665E"/>
    <w:rsid w:val="00496972"/>
    <w:rsid w:val="004969FA"/>
    <w:rsid w:val="00496CE0"/>
    <w:rsid w:val="00496E99"/>
    <w:rsid w:val="00497270"/>
    <w:rsid w:val="004973CB"/>
    <w:rsid w:val="00497442"/>
    <w:rsid w:val="0049759D"/>
    <w:rsid w:val="00497675"/>
    <w:rsid w:val="00497D84"/>
    <w:rsid w:val="004A00B9"/>
    <w:rsid w:val="004A02E3"/>
    <w:rsid w:val="004A03CB"/>
    <w:rsid w:val="004A074B"/>
    <w:rsid w:val="004A0830"/>
    <w:rsid w:val="004A0A11"/>
    <w:rsid w:val="004A1808"/>
    <w:rsid w:val="004A1D67"/>
    <w:rsid w:val="004A2233"/>
    <w:rsid w:val="004A27AB"/>
    <w:rsid w:val="004A2D18"/>
    <w:rsid w:val="004A2D54"/>
    <w:rsid w:val="004A30F5"/>
    <w:rsid w:val="004A3110"/>
    <w:rsid w:val="004A3244"/>
    <w:rsid w:val="004A329A"/>
    <w:rsid w:val="004A3341"/>
    <w:rsid w:val="004A3388"/>
    <w:rsid w:val="004A3520"/>
    <w:rsid w:val="004A3962"/>
    <w:rsid w:val="004A3A66"/>
    <w:rsid w:val="004A3DAA"/>
    <w:rsid w:val="004A3EAB"/>
    <w:rsid w:val="004A4255"/>
    <w:rsid w:val="004A4498"/>
    <w:rsid w:val="004A457A"/>
    <w:rsid w:val="004A46E2"/>
    <w:rsid w:val="004A46E6"/>
    <w:rsid w:val="004A48DA"/>
    <w:rsid w:val="004A49C6"/>
    <w:rsid w:val="004A4A31"/>
    <w:rsid w:val="004A52EA"/>
    <w:rsid w:val="004A55B6"/>
    <w:rsid w:val="004A5D3A"/>
    <w:rsid w:val="004A63E4"/>
    <w:rsid w:val="004A6484"/>
    <w:rsid w:val="004A64D9"/>
    <w:rsid w:val="004A72B1"/>
    <w:rsid w:val="004A7450"/>
    <w:rsid w:val="004A74B7"/>
    <w:rsid w:val="004A7562"/>
    <w:rsid w:val="004A76C5"/>
    <w:rsid w:val="004A78E8"/>
    <w:rsid w:val="004A7960"/>
    <w:rsid w:val="004A7A62"/>
    <w:rsid w:val="004A7BD5"/>
    <w:rsid w:val="004B09CB"/>
    <w:rsid w:val="004B1047"/>
    <w:rsid w:val="004B11FB"/>
    <w:rsid w:val="004B1443"/>
    <w:rsid w:val="004B1452"/>
    <w:rsid w:val="004B1634"/>
    <w:rsid w:val="004B1B77"/>
    <w:rsid w:val="004B1BEE"/>
    <w:rsid w:val="004B1C50"/>
    <w:rsid w:val="004B1C6D"/>
    <w:rsid w:val="004B1D59"/>
    <w:rsid w:val="004B2166"/>
    <w:rsid w:val="004B2AC4"/>
    <w:rsid w:val="004B2ACC"/>
    <w:rsid w:val="004B3371"/>
    <w:rsid w:val="004B3462"/>
    <w:rsid w:val="004B36D8"/>
    <w:rsid w:val="004B40FC"/>
    <w:rsid w:val="004B423C"/>
    <w:rsid w:val="004B44BE"/>
    <w:rsid w:val="004B482E"/>
    <w:rsid w:val="004B4B17"/>
    <w:rsid w:val="004B4BA9"/>
    <w:rsid w:val="004B4D6B"/>
    <w:rsid w:val="004B5055"/>
    <w:rsid w:val="004B5073"/>
    <w:rsid w:val="004B579B"/>
    <w:rsid w:val="004B58A7"/>
    <w:rsid w:val="004B5A40"/>
    <w:rsid w:val="004B5AE1"/>
    <w:rsid w:val="004B5B11"/>
    <w:rsid w:val="004B5C6F"/>
    <w:rsid w:val="004B5DAA"/>
    <w:rsid w:val="004B61FB"/>
    <w:rsid w:val="004B6666"/>
    <w:rsid w:val="004B6BA0"/>
    <w:rsid w:val="004B6EB6"/>
    <w:rsid w:val="004B6EFC"/>
    <w:rsid w:val="004B7319"/>
    <w:rsid w:val="004C0196"/>
    <w:rsid w:val="004C0575"/>
    <w:rsid w:val="004C06A6"/>
    <w:rsid w:val="004C0861"/>
    <w:rsid w:val="004C09F8"/>
    <w:rsid w:val="004C0C29"/>
    <w:rsid w:val="004C1727"/>
    <w:rsid w:val="004C18BF"/>
    <w:rsid w:val="004C1B2B"/>
    <w:rsid w:val="004C207A"/>
    <w:rsid w:val="004C228A"/>
    <w:rsid w:val="004C24D0"/>
    <w:rsid w:val="004C262C"/>
    <w:rsid w:val="004C2B0F"/>
    <w:rsid w:val="004C2CB7"/>
    <w:rsid w:val="004C2F42"/>
    <w:rsid w:val="004C2F8F"/>
    <w:rsid w:val="004C2FED"/>
    <w:rsid w:val="004C30C5"/>
    <w:rsid w:val="004C322F"/>
    <w:rsid w:val="004C34C2"/>
    <w:rsid w:val="004C365E"/>
    <w:rsid w:val="004C3944"/>
    <w:rsid w:val="004C3AC0"/>
    <w:rsid w:val="004C3BD6"/>
    <w:rsid w:val="004C4705"/>
    <w:rsid w:val="004C4A35"/>
    <w:rsid w:val="004C4C06"/>
    <w:rsid w:val="004C5010"/>
    <w:rsid w:val="004C5143"/>
    <w:rsid w:val="004C522D"/>
    <w:rsid w:val="004C5666"/>
    <w:rsid w:val="004C6094"/>
    <w:rsid w:val="004C63F1"/>
    <w:rsid w:val="004C6645"/>
    <w:rsid w:val="004C67A7"/>
    <w:rsid w:val="004C739B"/>
    <w:rsid w:val="004C75C7"/>
    <w:rsid w:val="004C75F2"/>
    <w:rsid w:val="004C76A7"/>
    <w:rsid w:val="004C7ABF"/>
    <w:rsid w:val="004D049D"/>
    <w:rsid w:val="004D05B7"/>
    <w:rsid w:val="004D1201"/>
    <w:rsid w:val="004D17D8"/>
    <w:rsid w:val="004D1A65"/>
    <w:rsid w:val="004D1E4B"/>
    <w:rsid w:val="004D21D5"/>
    <w:rsid w:val="004D2562"/>
    <w:rsid w:val="004D275B"/>
    <w:rsid w:val="004D293C"/>
    <w:rsid w:val="004D2AC1"/>
    <w:rsid w:val="004D2BAF"/>
    <w:rsid w:val="004D2D67"/>
    <w:rsid w:val="004D2DF1"/>
    <w:rsid w:val="004D2FA8"/>
    <w:rsid w:val="004D312D"/>
    <w:rsid w:val="004D326F"/>
    <w:rsid w:val="004D32E8"/>
    <w:rsid w:val="004D3302"/>
    <w:rsid w:val="004D3867"/>
    <w:rsid w:val="004D3CDA"/>
    <w:rsid w:val="004D3D86"/>
    <w:rsid w:val="004D47D3"/>
    <w:rsid w:val="004D4E03"/>
    <w:rsid w:val="004D5134"/>
    <w:rsid w:val="004D5196"/>
    <w:rsid w:val="004D529E"/>
    <w:rsid w:val="004D5330"/>
    <w:rsid w:val="004D55AE"/>
    <w:rsid w:val="004D5A8B"/>
    <w:rsid w:val="004D5A9D"/>
    <w:rsid w:val="004D5AC1"/>
    <w:rsid w:val="004D5BFC"/>
    <w:rsid w:val="004D5CE8"/>
    <w:rsid w:val="004D5E86"/>
    <w:rsid w:val="004D5F00"/>
    <w:rsid w:val="004D5FA0"/>
    <w:rsid w:val="004D6545"/>
    <w:rsid w:val="004D6552"/>
    <w:rsid w:val="004D678D"/>
    <w:rsid w:val="004D690A"/>
    <w:rsid w:val="004D6B15"/>
    <w:rsid w:val="004D6CD0"/>
    <w:rsid w:val="004D6D54"/>
    <w:rsid w:val="004D6DD6"/>
    <w:rsid w:val="004D78F3"/>
    <w:rsid w:val="004D79F8"/>
    <w:rsid w:val="004D7D6E"/>
    <w:rsid w:val="004D7F63"/>
    <w:rsid w:val="004D7F95"/>
    <w:rsid w:val="004E001B"/>
    <w:rsid w:val="004E0152"/>
    <w:rsid w:val="004E03D8"/>
    <w:rsid w:val="004E0586"/>
    <w:rsid w:val="004E0A57"/>
    <w:rsid w:val="004E0B69"/>
    <w:rsid w:val="004E0C4C"/>
    <w:rsid w:val="004E1425"/>
    <w:rsid w:val="004E1BB3"/>
    <w:rsid w:val="004E1CE2"/>
    <w:rsid w:val="004E204A"/>
    <w:rsid w:val="004E2337"/>
    <w:rsid w:val="004E25D5"/>
    <w:rsid w:val="004E2693"/>
    <w:rsid w:val="004E2A97"/>
    <w:rsid w:val="004E2C80"/>
    <w:rsid w:val="004E301F"/>
    <w:rsid w:val="004E323D"/>
    <w:rsid w:val="004E344A"/>
    <w:rsid w:val="004E37E7"/>
    <w:rsid w:val="004E397C"/>
    <w:rsid w:val="004E3AA2"/>
    <w:rsid w:val="004E4057"/>
    <w:rsid w:val="004E4184"/>
    <w:rsid w:val="004E422B"/>
    <w:rsid w:val="004E47D1"/>
    <w:rsid w:val="004E4885"/>
    <w:rsid w:val="004E4B02"/>
    <w:rsid w:val="004E4D6F"/>
    <w:rsid w:val="004E51C0"/>
    <w:rsid w:val="004E5683"/>
    <w:rsid w:val="004E5980"/>
    <w:rsid w:val="004E59A9"/>
    <w:rsid w:val="004E5BEA"/>
    <w:rsid w:val="004E5FD9"/>
    <w:rsid w:val="004E61CC"/>
    <w:rsid w:val="004E6501"/>
    <w:rsid w:val="004E6D5A"/>
    <w:rsid w:val="004E6DAB"/>
    <w:rsid w:val="004E7373"/>
    <w:rsid w:val="004E75AB"/>
    <w:rsid w:val="004E7754"/>
    <w:rsid w:val="004E7785"/>
    <w:rsid w:val="004E7B70"/>
    <w:rsid w:val="004E7D38"/>
    <w:rsid w:val="004E7E06"/>
    <w:rsid w:val="004F0900"/>
    <w:rsid w:val="004F0AD7"/>
    <w:rsid w:val="004F0E6B"/>
    <w:rsid w:val="004F0F28"/>
    <w:rsid w:val="004F0F9E"/>
    <w:rsid w:val="004F1349"/>
    <w:rsid w:val="004F135C"/>
    <w:rsid w:val="004F14AD"/>
    <w:rsid w:val="004F1678"/>
    <w:rsid w:val="004F17D8"/>
    <w:rsid w:val="004F1E47"/>
    <w:rsid w:val="004F1FAC"/>
    <w:rsid w:val="004F2503"/>
    <w:rsid w:val="004F2903"/>
    <w:rsid w:val="004F2E21"/>
    <w:rsid w:val="004F3074"/>
    <w:rsid w:val="004F350A"/>
    <w:rsid w:val="004F38C5"/>
    <w:rsid w:val="004F3DD0"/>
    <w:rsid w:val="004F3EC9"/>
    <w:rsid w:val="004F400E"/>
    <w:rsid w:val="004F45A3"/>
    <w:rsid w:val="004F4604"/>
    <w:rsid w:val="004F4903"/>
    <w:rsid w:val="004F49FE"/>
    <w:rsid w:val="004F4B7D"/>
    <w:rsid w:val="004F4EBE"/>
    <w:rsid w:val="004F4EDC"/>
    <w:rsid w:val="004F52D8"/>
    <w:rsid w:val="004F5835"/>
    <w:rsid w:val="004F597A"/>
    <w:rsid w:val="004F5B96"/>
    <w:rsid w:val="004F5E54"/>
    <w:rsid w:val="004F5E72"/>
    <w:rsid w:val="004F5F86"/>
    <w:rsid w:val="004F5FB1"/>
    <w:rsid w:val="004F60F6"/>
    <w:rsid w:val="004F640A"/>
    <w:rsid w:val="004F6667"/>
    <w:rsid w:val="004F690E"/>
    <w:rsid w:val="004F6BA8"/>
    <w:rsid w:val="004F6BC7"/>
    <w:rsid w:val="004F6C42"/>
    <w:rsid w:val="004F7051"/>
    <w:rsid w:val="004F7168"/>
    <w:rsid w:val="004F71A8"/>
    <w:rsid w:val="004F737A"/>
    <w:rsid w:val="004F73B1"/>
    <w:rsid w:val="004F73F7"/>
    <w:rsid w:val="004F74E9"/>
    <w:rsid w:val="004F781B"/>
    <w:rsid w:val="004F7D47"/>
    <w:rsid w:val="004F7DBD"/>
    <w:rsid w:val="004F7F3A"/>
    <w:rsid w:val="005001C8"/>
    <w:rsid w:val="005005D8"/>
    <w:rsid w:val="00500673"/>
    <w:rsid w:val="00500722"/>
    <w:rsid w:val="005009CB"/>
    <w:rsid w:val="00500AB4"/>
    <w:rsid w:val="00500C01"/>
    <w:rsid w:val="00501190"/>
    <w:rsid w:val="00501398"/>
    <w:rsid w:val="005014AB"/>
    <w:rsid w:val="005017D6"/>
    <w:rsid w:val="0050185A"/>
    <w:rsid w:val="005019F1"/>
    <w:rsid w:val="00501D18"/>
    <w:rsid w:val="00501FFA"/>
    <w:rsid w:val="00502668"/>
    <w:rsid w:val="00502983"/>
    <w:rsid w:val="00502B93"/>
    <w:rsid w:val="0050308E"/>
    <w:rsid w:val="005031DD"/>
    <w:rsid w:val="00503531"/>
    <w:rsid w:val="00503552"/>
    <w:rsid w:val="0050399D"/>
    <w:rsid w:val="00503D2B"/>
    <w:rsid w:val="00504158"/>
    <w:rsid w:val="00504488"/>
    <w:rsid w:val="0050450E"/>
    <w:rsid w:val="00504632"/>
    <w:rsid w:val="00504B00"/>
    <w:rsid w:val="00504B38"/>
    <w:rsid w:val="00504CC5"/>
    <w:rsid w:val="0050580C"/>
    <w:rsid w:val="00505A11"/>
    <w:rsid w:val="00505B70"/>
    <w:rsid w:val="00505DD4"/>
    <w:rsid w:val="00505F55"/>
    <w:rsid w:val="005064A3"/>
    <w:rsid w:val="00506733"/>
    <w:rsid w:val="00506825"/>
    <w:rsid w:val="00506D51"/>
    <w:rsid w:val="00506E40"/>
    <w:rsid w:val="00506E8A"/>
    <w:rsid w:val="005071B9"/>
    <w:rsid w:val="005078CB"/>
    <w:rsid w:val="00507CAE"/>
    <w:rsid w:val="005102A6"/>
    <w:rsid w:val="005103D0"/>
    <w:rsid w:val="00510431"/>
    <w:rsid w:val="005106ED"/>
    <w:rsid w:val="005108B5"/>
    <w:rsid w:val="0051098B"/>
    <w:rsid w:val="00510A15"/>
    <w:rsid w:val="00510BFC"/>
    <w:rsid w:val="00510F14"/>
    <w:rsid w:val="00510F2A"/>
    <w:rsid w:val="00511198"/>
    <w:rsid w:val="005114F3"/>
    <w:rsid w:val="005115DC"/>
    <w:rsid w:val="00511817"/>
    <w:rsid w:val="00511AFB"/>
    <w:rsid w:val="00511BBE"/>
    <w:rsid w:val="00511CA5"/>
    <w:rsid w:val="00511D48"/>
    <w:rsid w:val="00511E1E"/>
    <w:rsid w:val="005126D2"/>
    <w:rsid w:val="00512776"/>
    <w:rsid w:val="00512BDB"/>
    <w:rsid w:val="00512E2E"/>
    <w:rsid w:val="00512FFF"/>
    <w:rsid w:val="00513201"/>
    <w:rsid w:val="005132DD"/>
    <w:rsid w:val="00513A94"/>
    <w:rsid w:val="00513B04"/>
    <w:rsid w:val="00514480"/>
    <w:rsid w:val="005145F8"/>
    <w:rsid w:val="00514670"/>
    <w:rsid w:val="00514784"/>
    <w:rsid w:val="00514E92"/>
    <w:rsid w:val="00515C4B"/>
    <w:rsid w:val="00515E4F"/>
    <w:rsid w:val="005162DA"/>
    <w:rsid w:val="005167B5"/>
    <w:rsid w:val="00516BF1"/>
    <w:rsid w:val="00516DB5"/>
    <w:rsid w:val="00516DBC"/>
    <w:rsid w:val="00517394"/>
    <w:rsid w:val="005173C8"/>
    <w:rsid w:val="00517502"/>
    <w:rsid w:val="00517557"/>
    <w:rsid w:val="00517688"/>
    <w:rsid w:val="00517770"/>
    <w:rsid w:val="00517DC1"/>
    <w:rsid w:val="00517F99"/>
    <w:rsid w:val="005201B9"/>
    <w:rsid w:val="00520229"/>
    <w:rsid w:val="0052076B"/>
    <w:rsid w:val="0052091B"/>
    <w:rsid w:val="00520943"/>
    <w:rsid w:val="00520AE4"/>
    <w:rsid w:val="0052115C"/>
    <w:rsid w:val="00521181"/>
    <w:rsid w:val="005215CC"/>
    <w:rsid w:val="00521636"/>
    <w:rsid w:val="0052175B"/>
    <w:rsid w:val="00521951"/>
    <w:rsid w:val="0052199A"/>
    <w:rsid w:val="00521ABF"/>
    <w:rsid w:val="00521E78"/>
    <w:rsid w:val="005223AD"/>
    <w:rsid w:val="00522907"/>
    <w:rsid w:val="00522A08"/>
    <w:rsid w:val="00522A60"/>
    <w:rsid w:val="0052310B"/>
    <w:rsid w:val="005233AF"/>
    <w:rsid w:val="0052367C"/>
    <w:rsid w:val="00524213"/>
    <w:rsid w:val="005243DE"/>
    <w:rsid w:val="00524470"/>
    <w:rsid w:val="00524727"/>
    <w:rsid w:val="0052473F"/>
    <w:rsid w:val="005247EF"/>
    <w:rsid w:val="00524A01"/>
    <w:rsid w:val="00524D71"/>
    <w:rsid w:val="00524E1F"/>
    <w:rsid w:val="00524EA1"/>
    <w:rsid w:val="00525093"/>
    <w:rsid w:val="005253DF"/>
    <w:rsid w:val="00525484"/>
    <w:rsid w:val="00525500"/>
    <w:rsid w:val="005255D1"/>
    <w:rsid w:val="00525B2C"/>
    <w:rsid w:val="00525D94"/>
    <w:rsid w:val="00526126"/>
    <w:rsid w:val="005261E1"/>
    <w:rsid w:val="005263EB"/>
    <w:rsid w:val="00526980"/>
    <w:rsid w:val="00526AAB"/>
    <w:rsid w:val="00526B9E"/>
    <w:rsid w:val="00526C88"/>
    <w:rsid w:val="00526C90"/>
    <w:rsid w:val="00526CDD"/>
    <w:rsid w:val="0052764F"/>
    <w:rsid w:val="005277FE"/>
    <w:rsid w:val="005278BD"/>
    <w:rsid w:val="00527EAF"/>
    <w:rsid w:val="0053027C"/>
    <w:rsid w:val="005303E8"/>
    <w:rsid w:val="0053067C"/>
    <w:rsid w:val="00530719"/>
    <w:rsid w:val="00530808"/>
    <w:rsid w:val="00530AF5"/>
    <w:rsid w:val="00530CE2"/>
    <w:rsid w:val="00530E38"/>
    <w:rsid w:val="0053129A"/>
    <w:rsid w:val="0053143A"/>
    <w:rsid w:val="0053184D"/>
    <w:rsid w:val="00531A4D"/>
    <w:rsid w:val="00531ED0"/>
    <w:rsid w:val="005323CD"/>
    <w:rsid w:val="005325D0"/>
    <w:rsid w:val="0053289C"/>
    <w:rsid w:val="0053299A"/>
    <w:rsid w:val="005331A6"/>
    <w:rsid w:val="00533359"/>
    <w:rsid w:val="005333E7"/>
    <w:rsid w:val="0053357A"/>
    <w:rsid w:val="00533844"/>
    <w:rsid w:val="00533849"/>
    <w:rsid w:val="00533A01"/>
    <w:rsid w:val="00533A1F"/>
    <w:rsid w:val="00533BCB"/>
    <w:rsid w:val="00533C81"/>
    <w:rsid w:val="005342E2"/>
    <w:rsid w:val="00534322"/>
    <w:rsid w:val="00534572"/>
    <w:rsid w:val="0053494C"/>
    <w:rsid w:val="00534979"/>
    <w:rsid w:val="00534C24"/>
    <w:rsid w:val="005355F8"/>
    <w:rsid w:val="005356BA"/>
    <w:rsid w:val="005358AE"/>
    <w:rsid w:val="00535AAC"/>
    <w:rsid w:val="00535C89"/>
    <w:rsid w:val="00535DBF"/>
    <w:rsid w:val="00535E76"/>
    <w:rsid w:val="00535FDF"/>
    <w:rsid w:val="005361C2"/>
    <w:rsid w:val="0053658B"/>
    <w:rsid w:val="0053664C"/>
    <w:rsid w:val="005367A7"/>
    <w:rsid w:val="00537123"/>
    <w:rsid w:val="005371F5"/>
    <w:rsid w:val="00537497"/>
    <w:rsid w:val="00537600"/>
    <w:rsid w:val="00537B68"/>
    <w:rsid w:val="00540C08"/>
    <w:rsid w:val="00540FD1"/>
    <w:rsid w:val="00541135"/>
    <w:rsid w:val="005417E2"/>
    <w:rsid w:val="005419BE"/>
    <w:rsid w:val="00541B06"/>
    <w:rsid w:val="00541B54"/>
    <w:rsid w:val="00541C77"/>
    <w:rsid w:val="00541EE8"/>
    <w:rsid w:val="00541EF4"/>
    <w:rsid w:val="005424C6"/>
    <w:rsid w:val="005428FB"/>
    <w:rsid w:val="00542CCB"/>
    <w:rsid w:val="00542F57"/>
    <w:rsid w:val="00542FA9"/>
    <w:rsid w:val="0054303C"/>
    <w:rsid w:val="00543157"/>
    <w:rsid w:val="0054329B"/>
    <w:rsid w:val="00543348"/>
    <w:rsid w:val="0054337B"/>
    <w:rsid w:val="005434A9"/>
    <w:rsid w:val="0054394B"/>
    <w:rsid w:val="00543D48"/>
    <w:rsid w:val="00543D76"/>
    <w:rsid w:val="00543DCF"/>
    <w:rsid w:val="00544173"/>
    <w:rsid w:val="00544410"/>
    <w:rsid w:val="0054444A"/>
    <w:rsid w:val="005445AE"/>
    <w:rsid w:val="00544783"/>
    <w:rsid w:val="00544A16"/>
    <w:rsid w:val="00544B64"/>
    <w:rsid w:val="00544E60"/>
    <w:rsid w:val="00544F33"/>
    <w:rsid w:val="00545104"/>
    <w:rsid w:val="00545590"/>
    <w:rsid w:val="005456B0"/>
    <w:rsid w:val="005458B1"/>
    <w:rsid w:val="00545DB6"/>
    <w:rsid w:val="0054625D"/>
    <w:rsid w:val="0054693F"/>
    <w:rsid w:val="00546A27"/>
    <w:rsid w:val="00546BEB"/>
    <w:rsid w:val="00546C05"/>
    <w:rsid w:val="00546F9A"/>
    <w:rsid w:val="00547193"/>
    <w:rsid w:val="00547264"/>
    <w:rsid w:val="005472D9"/>
    <w:rsid w:val="005475F5"/>
    <w:rsid w:val="0054763C"/>
    <w:rsid w:val="00547C88"/>
    <w:rsid w:val="00547E22"/>
    <w:rsid w:val="00547F53"/>
    <w:rsid w:val="00547FDD"/>
    <w:rsid w:val="00550105"/>
    <w:rsid w:val="00550495"/>
    <w:rsid w:val="00550507"/>
    <w:rsid w:val="005507AE"/>
    <w:rsid w:val="00550847"/>
    <w:rsid w:val="005508A1"/>
    <w:rsid w:val="00550911"/>
    <w:rsid w:val="00550FDE"/>
    <w:rsid w:val="005510AD"/>
    <w:rsid w:val="00551164"/>
    <w:rsid w:val="00551262"/>
    <w:rsid w:val="005512D7"/>
    <w:rsid w:val="00551498"/>
    <w:rsid w:val="00551631"/>
    <w:rsid w:val="00551FBE"/>
    <w:rsid w:val="005523B6"/>
    <w:rsid w:val="0055254B"/>
    <w:rsid w:val="005526F3"/>
    <w:rsid w:val="00552ED3"/>
    <w:rsid w:val="00552F48"/>
    <w:rsid w:val="00552F7D"/>
    <w:rsid w:val="00553A4A"/>
    <w:rsid w:val="00553BF6"/>
    <w:rsid w:val="00553FAC"/>
    <w:rsid w:val="0055475D"/>
    <w:rsid w:val="00554779"/>
    <w:rsid w:val="00554980"/>
    <w:rsid w:val="00554F42"/>
    <w:rsid w:val="00554FA1"/>
    <w:rsid w:val="00555196"/>
    <w:rsid w:val="00555416"/>
    <w:rsid w:val="0055558A"/>
    <w:rsid w:val="00555A01"/>
    <w:rsid w:val="00555AC6"/>
    <w:rsid w:val="00555CD8"/>
    <w:rsid w:val="00555EE9"/>
    <w:rsid w:val="00555F8A"/>
    <w:rsid w:val="005564A7"/>
    <w:rsid w:val="00556629"/>
    <w:rsid w:val="0055667D"/>
    <w:rsid w:val="00556D4C"/>
    <w:rsid w:val="00556E14"/>
    <w:rsid w:val="00557042"/>
    <w:rsid w:val="0055740E"/>
    <w:rsid w:val="00557566"/>
    <w:rsid w:val="00557C4D"/>
    <w:rsid w:val="00557CFB"/>
    <w:rsid w:val="00557F18"/>
    <w:rsid w:val="005600EB"/>
    <w:rsid w:val="00560119"/>
    <w:rsid w:val="00560396"/>
    <w:rsid w:val="005603E4"/>
    <w:rsid w:val="0056044D"/>
    <w:rsid w:val="005605A0"/>
    <w:rsid w:val="00560BB2"/>
    <w:rsid w:val="00560DD4"/>
    <w:rsid w:val="00560E89"/>
    <w:rsid w:val="00561118"/>
    <w:rsid w:val="0056162A"/>
    <w:rsid w:val="00561A90"/>
    <w:rsid w:val="00561B0F"/>
    <w:rsid w:val="00561C8F"/>
    <w:rsid w:val="00561D11"/>
    <w:rsid w:val="00561EA3"/>
    <w:rsid w:val="005621FE"/>
    <w:rsid w:val="0056279F"/>
    <w:rsid w:val="005629D7"/>
    <w:rsid w:val="00562DFB"/>
    <w:rsid w:val="0056358B"/>
    <w:rsid w:val="00563818"/>
    <w:rsid w:val="00563D0F"/>
    <w:rsid w:val="005641B8"/>
    <w:rsid w:val="0056468E"/>
    <w:rsid w:val="00564DEF"/>
    <w:rsid w:val="00564E20"/>
    <w:rsid w:val="0056503D"/>
    <w:rsid w:val="005650CD"/>
    <w:rsid w:val="00565283"/>
    <w:rsid w:val="00565568"/>
    <w:rsid w:val="00565B81"/>
    <w:rsid w:val="00566127"/>
    <w:rsid w:val="00566164"/>
    <w:rsid w:val="0056690C"/>
    <w:rsid w:val="00566991"/>
    <w:rsid w:val="00566C40"/>
    <w:rsid w:val="00566F24"/>
    <w:rsid w:val="0056700B"/>
    <w:rsid w:val="00567083"/>
    <w:rsid w:val="00567769"/>
    <w:rsid w:val="00567B34"/>
    <w:rsid w:val="00567D67"/>
    <w:rsid w:val="0057000D"/>
    <w:rsid w:val="00570839"/>
    <w:rsid w:val="0057098A"/>
    <w:rsid w:val="00570C7E"/>
    <w:rsid w:val="00571447"/>
    <w:rsid w:val="00571834"/>
    <w:rsid w:val="00571922"/>
    <w:rsid w:val="0057199C"/>
    <w:rsid w:val="00571C9C"/>
    <w:rsid w:val="00571D83"/>
    <w:rsid w:val="0057264D"/>
    <w:rsid w:val="00572693"/>
    <w:rsid w:val="005728B8"/>
    <w:rsid w:val="005729BA"/>
    <w:rsid w:val="00572A46"/>
    <w:rsid w:val="00572AC5"/>
    <w:rsid w:val="00572BFE"/>
    <w:rsid w:val="00572CFA"/>
    <w:rsid w:val="00573C56"/>
    <w:rsid w:val="00573C5D"/>
    <w:rsid w:val="00573D71"/>
    <w:rsid w:val="00574092"/>
    <w:rsid w:val="00574515"/>
    <w:rsid w:val="005746D3"/>
    <w:rsid w:val="00574A29"/>
    <w:rsid w:val="00574CB1"/>
    <w:rsid w:val="00574D2D"/>
    <w:rsid w:val="00575595"/>
    <w:rsid w:val="005760C8"/>
    <w:rsid w:val="00576581"/>
    <w:rsid w:val="00576D15"/>
    <w:rsid w:val="00576DBD"/>
    <w:rsid w:val="00576F3B"/>
    <w:rsid w:val="00576FC3"/>
    <w:rsid w:val="00576FEB"/>
    <w:rsid w:val="005773E0"/>
    <w:rsid w:val="005778D3"/>
    <w:rsid w:val="00577ACE"/>
    <w:rsid w:val="00577B2A"/>
    <w:rsid w:val="00577CB8"/>
    <w:rsid w:val="00580158"/>
    <w:rsid w:val="0058033F"/>
    <w:rsid w:val="0058036B"/>
    <w:rsid w:val="00580505"/>
    <w:rsid w:val="00580756"/>
    <w:rsid w:val="00580809"/>
    <w:rsid w:val="00580BE0"/>
    <w:rsid w:val="00580DEA"/>
    <w:rsid w:val="0058108E"/>
    <w:rsid w:val="005811B0"/>
    <w:rsid w:val="0058144A"/>
    <w:rsid w:val="0058160B"/>
    <w:rsid w:val="00581859"/>
    <w:rsid w:val="00581863"/>
    <w:rsid w:val="005818DA"/>
    <w:rsid w:val="00581CFE"/>
    <w:rsid w:val="00582247"/>
    <w:rsid w:val="0058247A"/>
    <w:rsid w:val="0058292F"/>
    <w:rsid w:val="00582B4F"/>
    <w:rsid w:val="00582BE2"/>
    <w:rsid w:val="005830A3"/>
    <w:rsid w:val="005832EC"/>
    <w:rsid w:val="005833DF"/>
    <w:rsid w:val="00583ABA"/>
    <w:rsid w:val="00583B1B"/>
    <w:rsid w:val="00583D76"/>
    <w:rsid w:val="00583DE5"/>
    <w:rsid w:val="005842D5"/>
    <w:rsid w:val="005843ED"/>
    <w:rsid w:val="00584987"/>
    <w:rsid w:val="00584A2A"/>
    <w:rsid w:val="00584C9B"/>
    <w:rsid w:val="00584DAB"/>
    <w:rsid w:val="00584F90"/>
    <w:rsid w:val="0058536E"/>
    <w:rsid w:val="005853B9"/>
    <w:rsid w:val="00585685"/>
    <w:rsid w:val="0058596A"/>
    <w:rsid w:val="00585FD6"/>
    <w:rsid w:val="005861B6"/>
    <w:rsid w:val="00586560"/>
    <w:rsid w:val="0058695D"/>
    <w:rsid w:val="00586C93"/>
    <w:rsid w:val="00586F7A"/>
    <w:rsid w:val="00587704"/>
    <w:rsid w:val="005878E2"/>
    <w:rsid w:val="005903C4"/>
    <w:rsid w:val="00590C40"/>
    <w:rsid w:val="00590DB6"/>
    <w:rsid w:val="005910EC"/>
    <w:rsid w:val="005912DB"/>
    <w:rsid w:val="005915C9"/>
    <w:rsid w:val="005919E0"/>
    <w:rsid w:val="00591EF0"/>
    <w:rsid w:val="005922EB"/>
    <w:rsid w:val="00592E68"/>
    <w:rsid w:val="00592FB6"/>
    <w:rsid w:val="005934BC"/>
    <w:rsid w:val="0059357F"/>
    <w:rsid w:val="005937D6"/>
    <w:rsid w:val="0059387E"/>
    <w:rsid w:val="005939A1"/>
    <w:rsid w:val="00593A7D"/>
    <w:rsid w:val="00593AC5"/>
    <w:rsid w:val="00594061"/>
    <w:rsid w:val="0059407F"/>
    <w:rsid w:val="005943CD"/>
    <w:rsid w:val="0059449B"/>
    <w:rsid w:val="005947F8"/>
    <w:rsid w:val="00594CA3"/>
    <w:rsid w:val="005954A1"/>
    <w:rsid w:val="005954D6"/>
    <w:rsid w:val="005959D3"/>
    <w:rsid w:val="005959D5"/>
    <w:rsid w:val="00595C6E"/>
    <w:rsid w:val="00595DF3"/>
    <w:rsid w:val="00596000"/>
    <w:rsid w:val="00596374"/>
    <w:rsid w:val="005963A6"/>
    <w:rsid w:val="0059660F"/>
    <w:rsid w:val="00596706"/>
    <w:rsid w:val="00596D5A"/>
    <w:rsid w:val="00596E2F"/>
    <w:rsid w:val="00596F2C"/>
    <w:rsid w:val="00597265"/>
    <w:rsid w:val="00597387"/>
    <w:rsid w:val="005974D8"/>
    <w:rsid w:val="00597697"/>
    <w:rsid w:val="00597902"/>
    <w:rsid w:val="00597A69"/>
    <w:rsid w:val="00597F7D"/>
    <w:rsid w:val="00597F9D"/>
    <w:rsid w:val="005A02F6"/>
    <w:rsid w:val="005A0358"/>
    <w:rsid w:val="005A0585"/>
    <w:rsid w:val="005A0AAA"/>
    <w:rsid w:val="005A0EA9"/>
    <w:rsid w:val="005A0EB5"/>
    <w:rsid w:val="005A119E"/>
    <w:rsid w:val="005A1481"/>
    <w:rsid w:val="005A1591"/>
    <w:rsid w:val="005A196F"/>
    <w:rsid w:val="005A1A2B"/>
    <w:rsid w:val="005A1B7E"/>
    <w:rsid w:val="005A1EEC"/>
    <w:rsid w:val="005A1FCD"/>
    <w:rsid w:val="005A2494"/>
    <w:rsid w:val="005A28EE"/>
    <w:rsid w:val="005A28FA"/>
    <w:rsid w:val="005A2942"/>
    <w:rsid w:val="005A2DC7"/>
    <w:rsid w:val="005A31A5"/>
    <w:rsid w:val="005A323F"/>
    <w:rsid w:val="005A340D"/>
    <w:rsid w:val="005A3592"/>
    <w:rsid w:val="005A359F"/>
    <w:rsid w:val="005A36DA"/>
    <w:rsid w:val="005A385B"/>
    <w:rsid w:val="005A3908"/>
    <w:rsid w:val="005A3AFE"/>
    <w:rsid w:val="005A40AE"/>
    <w:rsid w:val="005A42AE"/>
    <w:rsid w:val="005A454D"/>
    <w:rsid w:val="005A4566"/>
    <w:rsid w:val="005A4615"/>
    <w:rsid w:val="005A47D2"/>
    <w:rsid w:val="005A48B6"/>
    <w:rsid w:val="005A4F19"/>
    <w:rsid w:val="005A501B"/>
    <w:rsid w:val="005A5172"/>
    <w:rsid w:val="005A5193"/>
    <w:rsid w:val="005A52AA"/>
    <w:rsid w:val="005A53BB"/>
    <w:rsid w:val="005A5510"/>
    <w:rsid w:val="005A5FEA"/>
    <w:rsid w:val="005A63BD"/>
    <w:rsid w:val="005A6521"/>
    <w:rsid w:val="005A6563"/>
    <w:rsid w:val="005A66C0"/>
    <w:rsid w:val="005A6B1B"/>
    <w:rsid w:val="005A6E95"/>
    <w:rsid w:val="005A6E99"/>
    <w:rsid w:val="005A6F3B"/>
    <w:rsid w:val="005A6F74"/>
    <w:rsid w:val="005A74FA"/>
    <w:rsid w:val="005A792E"/>
    <w:rsid w:val="005A7AB6"/>
    <w:rsid w:val="005A7CB8"/>
    <w:rsid w:val="005A7DDB"/>
    <w:rsid w:val="005A7F8A"/>
    <w:rsid w:val="005B02D8"/>
    <w:rsid w:val="005B043C"/>
    <w:rsid w:val="005B06EB"/>
    <w:rsid w:val="005B0A64"/>
    <w:rsid w:val="005B0D48"/>
    <w:rsid w:val="005B0D91"/>
    <w:rsid w:val="005B1079"/>
    <w:rsid w:val="005B1095"/>
    <w:rsid w:val="005B1473"/>
    <w:rsid w:val="005B18EB"/>
    <w:rsid w:val="005B1915"/>
    <w:rsid w:val="005B1CA6"/>
    <w:rsid w:val="005B1CB2"/>
    <w:rsid w:val="005B1D36"/>
    <w:rsid w:val="005B1EA1"/>
    <w:rsid w:val="005B1F01"/>
    <w:rsid w:val="005B2166"/>
    <w:rsid w:val="005B24CB"/>
    <w:rsid w:val="005B24E2"/>
    <w:rsid w:val="005B251F"/>
    <w:rsid w:val="005B25E3"/>
    <w:rsid w:val="005B2BB6"/>
    <w:rsid w:val="005B32BF"/>
    <w:rsid w:val="005B35E4"/>
    <w:rsid w:val="005B3837"/>
    <w:rsid w:val="005B39EC"/>
    <w:rsid w:val="005B3BCD"/>
    <w:rsid w:val="005B3BEA"/>
    <w:rsid w:val="005B3EC3"/>
    <w:rsid w:val="005B4941"/>
    <w:rsid w:val="005B4974"/>
    <w:rsid w:val="005B4D4C"/>
    <w:rsid w:val="005B4E40"/>
    <w:rsid w:val="005B5218"/>
    <w:rsid w:val="005B59EB"/>
    <w:rsid w:val="005B5A9F"/>
    <w:rsid w:val="005B5F5E"/>
    <w:rsid w:val="005B6658"/>
    <w:rsid w:val="005B6939"/>
    <w:rsid w:val="005B6A86"/>
    <w:rsid w:val="005B6B0E"/>
    <w:rsid w:val="005B70C7"/>
    <w:rsid w:val="005B7254"/>
    <w:rsid w:val="005B773F"/>
    <w:rsid w:val="005B7B5E"/>
    <w:rsid w:val="005C00D5"/>
    <w:rsid w:val="005C02A4"/>
    <w:rsid w:val="005C0BA6"/>
    <w:rsid w:val="005C0D38"/>
    <w:rsid w:val="005C0F2F"/>
    <w:rsid w:val="005C1117"/>
    <w:rsid w:val="005C1378"/>
    <w:rsid w:val="005C17E6"/>
    <w:rsid w:val="005C185E"/>
    <w:rsid w:val="005C1A21"/>
    <w:rsid w:val="005C1A83"/>
    <w:rsid w:val="005C1BCA"/>
    <w:rsid w:val="005C1CFE"/>
    <w:rsid w:val="005C2146"/>
    <w:rsid w:val="005C229E"/>
    <w:rsid w:val="005C2884"/>
    <w:rsid w:val="005C28BC"/>
    <w:rsid w:val="005C2999"/>
    <w:rsid w:val="005C2DB4"/>
    <w:rsid w:val="005C3135"/>
    <w:rsid w:val="005C31AF"/>
    <w:rsid w:val="005C32B7"/>
    <w:rsid w:val="005C3446"/>
    <w:rsid w:val="005C3517"/>
    <w:rsid w:val="005C3968"/>
    <w:rsid w:val="005C3C14"/>
    <w:rsid w:val="005C3C74"/>
    <w:rsid w:val="005C4259"/>
    <w:rsid w:val="005C4DBF"/>
    <w:rsid w:val="005C5039"/>
    <w:rsid w:val="005C5152"/>
    <w:rsid w:val="005C530D"/>
    <w:rsid w:val="005C54AD"/>
    <w:rsid w:val="005C565B"/>
    <w:rsid w:val="005C5B56"/>
    <w:rsid w:val="005C5BAA"/>
    <w:rsid w:val="005C5C1E"/>
    <w:rsid w:val="005C5C8D"/>
    <w:rsid w:val="005C5E9A"/>
    <w:rsid w:val="005C5ED9"/>
    <w:rsid w:val="005C5F88"/>
    <w:rsid w:val="005C679A"/>
    <w:rsid w:val="005C68D5"/>
    <w:rsid w:val="005C698D"/>
    <w:rsid w:val="005C6B53"/>
    <w:rsid w:val="005C6D01"/>
    <w:rsid w:val="005C6E97"/>
    <w:rsid w:val="005C6EE7"/>
    <w:rsid w:val="005C7379"/>
    <w:rsid w:val="005C739B"/>
    <w:rsid w:val="005C73B1"/>
    <w:rsid w:val="005C7637"/>
    <w:rsid w:val="005C785C"/>
    <w:rsid w:val="005C7F6F"/>
    <w:rsid w:val="005C7FF1"/>
    <w:rsid w:val="005D0176"/>
    <w:rsid w:val="005D02E0"/>
    <w:rsid w:val="005D04F9"/>
    <w:rsid w:val="005D0619"/>
    <w:rsid w:val="005D067B"/>
    <w:rsid w:val="005D0F97"/>
    <w:rsid w:val="005D0FD3"/>
    <w:rsid w:val="005D1091"/>
    <w:rsid w:val="005D124C"/>
    <w:rsid w:val="005D19D2"/>
    <w:rsid w:val="005D1AC8"/>
    <w:rsid w:val="005D1C53"/>
    <w:rsid w:val="005D1C99"/>
    <w:rsid w:val="005D1E26"/>
    <w:rsid w:val="005D1EDD"/>
    <w:rsid w:val="005D211F"/>
    <w:rsid w:val="005D2560"/>
    <w:rsid w:val="005D2C89"/>
    <w:rsid w:val="005D2F05"/>
    <w:rsid w:val="005D3132"/>
    <w:rsid w:val="005D31B9"/>
    <w:rsid w:val="005D3339"/>
    <w:rsid w:val="005D362F"/>
    <w:rsid w:val="005D38E5"/>
    <w:rsid w:val="005D3C4B"/>
    <w:rsid w:val="005D3D57"/>
    <w:rsid w:val="005D40E1"/>
    <w:rsid w:val="005D4218"/>
    <w:rsid w:val="005D4671"/>
    <w:rsid w:val="005D4732"/>
    <w:rsid w:val="005D4885"/>
    <w:rsid w:val="005D495E"/>
    <w:rsid w:val="005D4BA8"/>
    <w:rsid w:val="005D4DEC"/>
    <w:rsid w:val="005D4EF7"/>
    <w:rsid w:val="005D542A"/>
    <w:rsid w:val="005D5BA9"/>
    <w:rsid w:val="005D5E90"/>
    <w:rsid w:val="005D5F46"/>
    <w:rsid w:val="005D604C"/>
    <w:rsid w:val="005D616D"/>
    <w:rsid w:val="005D6292"/>
    <w:rsid w:val="005D6B3E"/>
    <w:rsid w:val="005D6D2F"/>
    <w:rsid w:val="005D715B"/>
    <w:rsid w:val="005D73C9"/>
    <w:rsid w:val="005D76CC"/>
    <w:rsid w:val="005D781C"/>
    <w:rsid w:val="005D7C19"/>
    <w:rsid w:val="005D7DB8"/>
    <w:rsid w:val="005D7E59"/>
    <w:rsid w:val="005E03AC"/>
    <w:rsid w:val="005E0726"/>
    <w:rsid w:val="005E0C0F"/>
    <w:rsid w:val="005E0D24"/>
    <w:rsid w:val="005E0DD2"/>
    <w:rsid w:val="005E1001"/>
    <w:rsid w:val="005E1034"/>
    <w:rsid w:val="005E119D"/>
    <w:rsid w:val="005E138F"/>
    <w:rsid w:val="005E1408"/>
    <w:rsid w:val="005E1636"/>
    <w:rsid w:val="005E1710"/>
    <w:rsid w:val="005E18E6"/>
    <w:rsid w:val="005E190E"/>
    <w:rsid w:val="005E1C24"/>
    <w:rsid w:val="005E205D"/>
    <w:rsid w:val="005E2334"/>
    <w:rsid w:val="005E2941"/>
    <w:rsid w:val="005E3190"/>
    <w:rsid w:val="005E322F"/>
    <w:rsid w:val="005E3ADA"/>
    <w:rsid w:val="005E3E27"/>
    <w:rsid w:val="005E3E98"/>
    <w:rsid w:val="005E3F25"/>
    <w:rsid w:val="005E46FF"/>
    <w:rsid w:val="005E4937"/>
    <w:rsid w:val="005E498D"/>
    <w:rsid w:val="005E4BA1"/>
    <w:rsid w:val="005E4CB7"/>
    <w:rsid w:val="005E4E88"/>
    <w:rsid w:val="005E4F7E"/>
    <w:rsid w:val="005E4FA1"/>
    <w:rsid w:val="005E5E60"/>
    <w:rsid w:val="005E617F"/>
    <w:rsid w:val="005E62C7"/>
    <w:rsid w:val="005E6827"/>
    <w:rsid w:val="005E6E49"/>
    <w:rsid w:val="005E7F5F"/>
    <w:rsid w:val="005F0034"/>
    <w:rsid w:val="005F00D5"/>
    <w:rsid w:val="005F04C9"/>
    <w:rsid w:val="005F083F"/>
    <w:rsid w:val="005F0AFC"/>
    <w:rsid w:val="005F0EE2"/>
    <w:rsid w:val="005F12F3"/>
    <w:rsid w:val="005F15B0"/>
    <w:rsid w:val="005F1823"/>
    <w:rsid w:val="005F19A9"/>
    <w:rsid w:val="005F2393"/>
    <w:rsid w:val="005F27A6"/>
    <w:rsid w:val="005F2C10"/>
    <w:rsid w:val="005F2E49"/>
    <w:rsid w:val="005F301E"/>
    <w:rsid w:val="005F3664"/>
    <w:rsid w:val="005F38DA"/>
    <w:rsid w:val="005F38DF"/>
    <w:rsid w:val="005F399B"/>
    <w:rsid w:val="005F3AB7"/>
    <w:rsid w:val="005F3DA3"/>
    <w:rsid w:val="005F3E84"/>
    <w:rsid w:val="005F417E"/>
    <w:rsid w:val="005F4531"/>
    <w:rsid w:val="005F4864"/>
    <w:rsid w:val="005F4BDC"/>
    <w:rsid w:val="005F5246"/>
    <w:rsid w:val="005F55C1"/>
    <w:rsid w:val="005F56A1"/>
    <w:rsid w:val="005F5739"/>
    <w:rsid w:val="005F58C1"/>
    <w:rsid w:val="005F5C7A"/>
    <w:rsid w:val="005F5E78"/>
    <w:rsid w:val="005F61E2"/>
    <w:rsid w:val="005F6202"/>
    <w:rsid w:val="005F6338"/>
    <w:rsid w:val="005F6491"/>
    <w:rsid w:val="005F696D"/>
    <w:rsid w:val="005F6D5B"/>
    <w:rsid w:val="005F72C7"/>
    <w:rsid w:val="005F74F2"/>
    <w:rsid w:val="005F759B"/>
    <w:rsid w:val="005F7E03"/>
    <w:rsid w:val="005F7FF3"/>
    <w:rsid w:val="00600386"/>
    <w:rsid w:val="006006AA"/>
    <w:rsid w:val="006007A1"/>
    <w:rsid w:val="00600EE2"/>
    <w:rsid w:val="006011A6"/>
    <w:rsid w:val="006011F5"/>
    <w:rsid w:val="0060139D"/>
    <w:rsid w:val="006018AD"/>
    <w:rsid w:val="00601941"/>
    <w:rsid w:val="00602639"/>
    <w:rsid w:val="00602682"/>
    <w:rsid w:val="00602AB2"/>
    <w:rsid w:val="00602C99"/>
    <w:rsid w:val="00602DEB"/>
    <w:rsid w:val="00602EDE"/>
    <w:rsid w:val="00603598"/>
    <w:rsid w:val="006035B5"/>
    <w:rsid w:val="00603AE1"/>
    <w:rsid w:val="00603C5C"/>
    <w:rsid w:val="00603EDA"/>
    <w:rsid w:val="006040A9"/>
    <w:rsid w:val="00604119"/>
    <w:rsid w:val="00604183"/>
    <w:rsid w:val="0060424C"/>
    <w:rsid w:val="0060426D"/>
    <w:rsid w:val="00604AE9"/>
    <w:rsid w:val="00604DC8"/>
    <w:rsid w:val="00604E1B"/>
    <w:rsid w:val="006050E6"/>
    <w:rsid w:val="00605174"/>
    <w:rsid w:val="006054C2"/>
    <w:rsid w:val="006055F7"/>
    <w:rsid w:val="006057D9"/>
    <w:rsid w:val="00605838"/>
    <w:rsid w:val="00605986"/>
    <w:rsid w:val="00605B32"/>
    <w:rsid w:val="0060605B"/>
    <w:rsid w:val="0060615F"/>
    <w:rsid w:val="00606211"/>
    <w:rsid w:val="0060640D"/>
    <w:rsid w:val="0060654B"/>
    <w:rsid w:val="006066EB"/>
    <w:rsid w:val="00606714"/>
    <w:rsid w:val="00606780"/>
    <w:rsid w:val="00606A0F"/>
    <w:rsid w:val="00606BAB"/>
    <w:rsid w:val="00606D41"/>
    <w:rsid w:val="00606D4D"/>
    <w:rsid w:val="00606D65"/>
    <w:rsid w:val="00606FB4"/>
    <w:rsid w:val="00607127"/>
    <w:rsid w:val="0060754B"/>
    <w:rsid w:val="00607922"/>
    <w:rsid w:val="006079A8"/>
    <w:rsid w:val="006079DB"/>
    <w:rsid w:val="00607B41"/>
    <w:rsid w:val="00607B8A"/>
    <w:rsid w:val="00607D0B"/>
    <w:rsid w:val="00607E17"/>
    <w:rsid w:val="00607FFD"/>
    <w:rsid w:val="00610263"/>
    <w:rsid w:val="00610284"/>
    <w:rsid w:val="00610337"/>
    <w:rsid w:val="006108EB"/>
    <w:rsid w:val="00610944"/>
    <w:rsid w:val="00610ABF"/>
    <w:rsid w:val="00610E33"/>
    <w:rsid w:val="00610F08"/>
    <w:rsid w:val="00610FB6"/>
    <w:rsid w:val="006110F9"/>
    <w:rsid w:val="0061137C"/>
    <w:rsid w:val="0061183A"/>
    <w:rsid w:val="006119A1"/>
    <w:rsid w:val="00611A45"/>
    <w:rsid w:val="00611CF6"/>
    <w:rsid w:val="00611E8D"/>
    <w:rsid w:val="00612077"/>
    <w:rsid w:val="006121A8"/>
    <w:rsid w:val="006122B8"/>
    <w:rsid w:val="00612394"/>
    <w:rsid w:val="006127EA"/>
    <w:rsid w:val="006129DD"/>
    <w:rsid w:val="00612C35"/>
    <w:rsid w:val="00612ED5"/>
    <w:rsid w:val="00612EED"/>
    <w:rsid w:val="00612F5A"/>
    <w:rsid w:val="00613194"/>
    <w:rsid w:val="00613393"/>
    <w:rsid w:val="00613BFA"/>
    <w:rsid w:val="0061423E"/>
    <w:rsid w:val="00614808"/>
    <w:rsid w:val="0061485A"/>
    <w:rsid w:val="00614D0D"/>
    <w:rsid w:val="00614D26"/>
    <w:rsid w:val="00614F83"/>
    <w:rsid w:val="006150F0"/>
    <w:rsid w:val="006156AE"/>
    <w:rsid w:val="00615729"/>
    <w:rsid w:val="00615926"/>
    <w:rsid w:val="00615949"/>
    <w:rsid w:val="00615C29"/>
    <w:rsid w:val="00615DAD"/>
    <w:rsid w:val="006160B7"/>
    <w:rsid w:val="00616732"/>
    <w:rsid w:val="00616C1A"/>
    <w:rsid w:val="006173FB"/>
    <w:rsid w:val="0061740A"/>
    <w:rsid w:val="006177CA"/>
    <w:rsid w:val="00617CF4"/>
    <w:rsid w:val="00617FD0"/>
    <w:rsid w:val="00620413"/>
    <w:rsid w:val="006204F8"/>
    <w:rsid w:val="00620A4D"/>
    <w:rsid w:val="00620BFF"/>
    <w:rsid w:val="00620C4F"/>
    <w:rsid w:val="00620D24"/>
    <w:rsid w:val="00620D4B"/>
    <w:rsid w:val="00621142"/>
    <w:rsid w:val="00621290"/>
    <w:rsid w:val="006213A4"/>
    <w:rsid w:val="00621878"/>
    <w:rsid w:val="00622149"/>
    <w:rsid w:val="006221C2"/>
    <w:rsid w:val="006225FE"/>
    <w:rsid w:val="00622653"/>
    <w:rsid w:val="006227A9"/>
    <w:rsid w:val="00622CA4"/>
    <w:rsid w:val="00622F86"/>
    <w:rsid w:val="00622FFB"/>
    <w:rsid w:val="0062346C"/>
    <w:rsid w:val="006237B5"/>
    <w:rsid w:val="006238B6"/>
    <w:rsid w:val="006238BB"/>
    <w:rsid w:val="00623C27"/>
    <w:rsid w:val="00623C3F"/>
    <w:rsid w:val="00623C42"/>
    <w:rsid w:val="00623D25"/>
    <w:rsid w:val="00623DFE"/>
    <w:rsid w:val="0062434B"/>
    <w:rsid w:val="0062458E"/>
    <w:rsid w:val="00624CD7"/>
    <w:rsid w:val="00624D11"/>
    <w:rsid w:val="00624F95"/>
    <w:rsid w:val="006252C4"/>
    <w:rsid w:val="00625345"/>
    <w:rsid w:val="00625420"/>
    <w:rsid w:val="0062544F"/>
    <w:rsid w:val="00625867"/>
    <w:rsid w:val="006258CC"/>
    <w:rsid w:val="00625A6B"/>
    <w:rsid w:val="00625C0F"/>
    <w:rsid w:val="00626018"/>
    <w:rsid w:val="006262D6"/>
    <w:rsid w:val="006264CB"/>
    <w:rsid w:val="006266D3"/>
    <w:rsid w:val="00626792"/>
    <w:rsid w:val="00626CB2"/>
    <w:rsid w:val="0062708A"/>
    <w:rsid w:val="00627521"/>
    <w:rsid w:val="006278B1"/>
    <w:rsid w:val="00627AC4"/>
    <w:rsid w:val="00627BF3"/>
    <w:rsid w:val="006302B7"/>
    <w:rsid w:val="00630422"/>
    <w:rsid w:val="00630498"/>
    <w:rsid w:val="006305E4"/>
    <w:rsid w:val="00630EBA"/>
    <w:rsid w:val="00631131"/>
    <w:rsid w:val="006313AE"/>
    <w:rsid w:val="0063156F"/>
    <w:rsid w:val="006316D5"/>
    <w:rsid w:val="006317C0"/>
    <w:rsid w:val="0063193F"/>
    <w:rsid w:val="006319B9"/>
    <w:rsid w:val="00631FD8"/>
    <w:rsid w:val="006321BB"/>
    <w:rsid w:val="006328BE"/>
    <w:rsid w:val="00632EB1"/>
    <w:rsid w:val="0063308A"/>
    <w:rsid w:val="00633B54"/>
    <w:rsid w:val="00633BC7"/>
    <w:rsid w:val="00633C9E"/>
    <w:rsid w:val="00633CC2"/>
    <w:rsid w:val="00633D67"/>
    <w:rsid w:val="00634270"/>
    <w:rsid w:val="00634290"/>
    <w:rsid w:val="00634303"/>
    <w:rsid w:val="00634408"/>
    <w:rsid w:val="0063441F"/>
    <w:rsid w:val="006345C0"/>
    <w:rsid w:val="00634725"/>
    <w:rsid w:val="00634C75"/>
    <w:rsid w:val="0063552B"/>
    <w:rsid w:val="00635619"/>
    <w:rsid w:val="0063580C"/>
    <w:rsid w:val="00635C20"/>
    <w:rsid w:val="00635C9C"/>
    <w:rsid w:val="00636162"/>
    <w:rsid w:val="006362D0"/>
    <w:rsid w:val="006365C0"/>
    <w:rsid w:val="00636942"/>
    <w:rsid w:val="00636E9E"/>
    <w:rsid w:val="00636FFF"/>
    <w:rsid w:val="0063714B"/>
    <w:rsid w:val="006376A0"/>
    <w:rsid w:val="00637A02"/>
    <w:rsid w:val="00637DBB"/>
    <w:rsid w:val="00637EA2"/>
    <w:rsid w:val="00640042"/>
    <w:rsid w:val="00640248"/>
    <w:rsid w:val="00640478"/>
    <w:rsid w:val="00640600"/>
    <w:rsid w:val="00640ABA"/>
    <w:rsid w:val="00640DED"/>
    <w:rsid w:val="00640E1D"/>
    <w:rsid w:val="00640E88"/>
    <w:rsid w:val="00641023"/>
    <w:rsid w:val="0064135F"/>
    <w:rsid w:val="006414D0"/>
    <w:rsid w:val="00641535"/>
    <w:rsid w:val="00641735"/>
    <w:rsid w:val="00641973"/>
    <w:rsid w:val="006419C9"/>
    <w:rsid w:val="006419FD"/>
    <w:rsid w:val="00641ABD"/>
    <w:rsid w:val="00641AD1"/>
    <w:rsid w:val="00641C33"/>
    <w:rsid w:val="00641F6A"/>
    <w:rsid w:val="00642200"/>
    <w:rsid w:val="006424C6"/>
    <w:rsid w:val="00642BAC"/>
    <w:rsid w:val="00642F29"/>
    <w:rsid w:val="006432AC"/>
    <w:rsid w:val="006436D4"/>
    <w:rsid w:val="00643898"/>
    <w:rsid w:val="006439E4"/>
    <w:rsid w:val="006441FF"/>
    <w:rsid w:val="00644648"/>
    <w:rsid w:val="006448D3"/>
    <w:rsid w:val="00644935"/>
    <w:rsid w:val="00644CFA"/>
    <w:rsid w:val="00645279"/>
    <w:rsid w:val="006452B3"/>
    <w:rsid w:val="00645312"/>
    <w:rsid w:val="0064538A"/>
    <w:rsid w:val="00645485"/>
    <w:rsid w:val="00645618"/>
    <w:rsid w:val="00645664"/>
    <w:rsid w:val="006456AB"/>
    <w:rsid w:val="00645B7B"/>
    <w:rsid w:val="00645D32"/>
    <w:rsid w:val="00646181"/>
    <w:rsid w:val="00646501"/>
    <w:rsid w:val="006465D7"/>
    <w:rsid w:val="0064666D"/>
    <w:rsid w:val="006469FB"/>
    <w:rsid w:val="00646B18"/>
    <w:rsid w:val="00646F4C"/>
    <w:rsid w:val="006470AB"/>
    <w:rsid w:val="00647194"/>
    <w:rsid w:val="0064724A"/>
    <w:rsid w:val="006473D4"/>
    <w:rsid w:val="006474DD"/>
    <w:rsid w:val="006478D9"/>
    <w:rsid w:val="006479BB"/>
    <w:rsid w:val="00647D75"/>
    <w:rsid w:val="00647DB8"/>
    <w:rsid w:val="0065010C"/>
    <w:rsid w:val="0065019F"/>
    <w:rsid w:val="00650236"/>
    <w:rsid w:val="0065037A"/>
    <w:rsid w:val="0065042A"/>
    <w:rsid w:val="00650789"/>
    <w:rsid w:val="00650945"/>
    <w:rsid w:val="00650A63"/>
    <w:rsid w:val="00650A79"/>
    <w:rsid w:val="00650C35"/>
    <w:rsid w:val="00650D8B"/>
    <w:rsid w:val="00650DD7"/>
    <w:rsid w:val="00650F69"/>
    <w:rsid w:val="00651007"/>
    <w:rsid w:val="0065118A"/>
    <w:rsid w:val="006511D0"/>
    <w:rsid w:val="00651323"/>
    <w:rsid w:val="0065137D"/>
    <w:rsid w:val="00651389"/>
    <w:rsid w:val="00651404"/>
    <w:rsid w:val="00651649"/>
    <w:rsid w:val="00651680"/>
    <w:rsid w:val="006516F7"/>
    <w:rsid w:val="0065182B"/>
    <w:rsid w:val="006519F8"/>
    <w:rsid w:val="00651E57"/>
    <w:rsid w:val="00651E90"/>
    <w:rsid w:val="00652171"/>
    <w:rsid w:val="006521F4"/>
    <w:rsid w:val="00652A0B"/>
    <w:rsid w:val="00652AAC"/>
    <w:rsid w:val="00652C17"/>
    <w:rsid w:val="00652CD9"/>
    <w:rsid w:val="00653380"/>
    <w:rsid w:val="0065341A"/>
    <w:rsid w:val="00653479"/>
    <w:rsid w:val="0065349A"/>
    <w:rsid w:val="006535E5"/>
    <w:rsid w:val="006536E6"/>
    <w:rsid w:val="0065387E"/>
    <w:rsid w:val="00653A21"/>
    <w:rsid w:val="00653F60"/>
    <w:rsid w:val="00653FDB"/>
    <w:rsid w:val="00654356"/>
    <w:rsid w:val="00654424"/>
    <w:rsid w:val="006545ED"/>
    <w:rsid w:val="00654865"/>
    <w:rsid w:val="00654979"/>
    <w:rsid w:val="00654B19"/>
    <w:rsid w:val="00654D01"/>
    <w:rsid w:val="00654FA8"/>
    <w:rsid w:val="00655164"/>
    <w:rsid w:val="00655340"/>
    <w:rsid w:val="006556F8"/>
    <w:rsid w:val="006560AB"/>
    <w:rsid w:val="00656274"/>
    <w:rsid w:val="00656410"/>
    <w:rsid w:val="0065678F"/>
    <w:rsid w:val="00656893"/>
    <w:rsid w:val="00656D9F"/>
    <w:rsid w:val="006570D0"/>
    <w:rsid w:val="006573B8"/>
    <w:rsid w:val="006574A7"/>
    <w:rsid w:val="00657648"/>
    <w:rsid w:val="00657761"/>
    <w:rsid w:val="006577D0"/>
    <w:rsid w:val="00657F89"/>
    <w:rsid w:val="006600AA"/>
    <w:rsid w:val="00660453"/>
    <w:rsid w:val="00660784"/>
    <w:rsid w:val="00660B16"/>
    <w:rsid w:val="00660D6A"/>
    <w:rsid w:val="006610DB"/>
    <w:rsid w:val="00661144"/>
    <w:rsid w:val="00661363"/>
    <w:rsid w:val="006613DB"/>
    <w:rsid w:val="006613F5"/>
    <w:rsid w:val="0066170E"/>
    <w:rsid w:val="00661AAB"/>
    <w:rsid w:val="00661C31"/>
    <w:rsid w:val="00661E03"/>
    <w:rsid w:val="006628A8"/>
    <w:rsid w:val="006629E8"/>
    <w:rsid w:val="00662A4E"/>
    <w:rsid w:val="00663285"/>
    <w:rsid w:val="00663690"/>
    <w:rsid w:val="00663BC8"/>
    <w:rsid w:val="00663E2D"/>
    <w:rsid w:val="00663F74"/>
    <w:rsid w:val="0066410B"/>
    <w:rsid w:val="00664657"/>
    <w:rsid w:val="00664C7F"/>
    <w:rsid w:val="00664E2E"/>
    <w:rsid w:val="00664EDC"/>
    <w:rsid w:val="0066511C"/>
    <w:rsid w:val="00665533"/>
    <w:rsid w:val="006658BF"/>
    <w:rsid w:val="00665969"/>
    <w:rsid w:val="006661BF"/>
    <w:rsid w:val="00666245"/>
    <w:rsid w:val="00666247"/>
    <w:rsid w:val="00666368"/>
    <w:rsid w:val="006663EC"/>
    <w:rsid w:val="0066671B"/>
    <w:rsid w:val="00666842"/>
    <w:rsid w:val="00666BD5"/>
    <w:rsid w:val="00667596"/>
    <w:rsid w:val="00667F4A"/>
    <w:rsid w:val="0067031E"/>
    <w:rsid w:val="0067076E"/>
    <w:rsid w:val="006707B8"/>
    <w:rsid w:val="00670C3E"/>
    <w:rsid w:val="00670D3F"/>
    <w:rsid w:val="00671019"/>
    <w:rsid w:val="0067126C"/>
    <w:rsid w:val="00671323"/>
    <w:rsid w:val="00671A27"/>
    <w:rsid w:val="00671DD6"/>
    <w:rsid w:val="0067208B"/>
    <w:rsid w:val="006722FA"/>
    <w:rsid w:val="0067245D"/>
    <w:rsid w:val="00672661"/>
    <w:rsid w:val="00672674"/>
    <w:rsid w:val="00672716"/>
    <w:rsid w:val="0067277B"/>
    <w:rsid w:val="0067289F"/>
    <w:rsid w:val="00672A17"/>
    <w:rsid w:val="00672AEB"/>
    <w:rsid w:val="00672B21"/>
    <w:rsid w:val="00672BE9"/>
    <w:rsid w:val="00672DFD"/>
    <w:rsid w:val="00672EB8"/>
    <w:rsid w:val="006732FD"/>
    <w:rsid w:val="006733C6"/>
    <w:rsid w:val="006733D2"/>
    <w:rsid w:val="006735C8"/>
    <w:rsid w:val="00673B7A"/>
    <w:rsid w:val="00674220"/>
    <w:rsid w:val="006743FF"/>
    <w:rsid w:val="00674C96"/>
    <w:rsid w:val="00674D28"/>
    <w:rsid w:val="00674ED0"/>
    <w:rsid w:val="0067556D"/>
    <w:rsid w:val="00675584"/>
    <w:rsid w:val="00675BE8"/>
    <w:rsid w:val="0067624B"/>
    <w:rsid w:val="00676347"/>
    <w:rsid w:val="0067664A"/>
    <w:rsid w:val="006767BF"/>
    <w:rsid w:val="00676E8A"/>
    <w:rsid w:val="00676EF9"/>
    <w:rsid w:val="006772C0"/>
    <w:rsid w:val="006773EF"/>
    <w:rsid w:val="006775A2"/>
    <w:rsid w:val="006775D1"/>
    <w:rsid w:val="006801BC"/>
    <w:rsid w:val="006803E5"/>
    <w:rsid w:val="00680B37"/>
    <w:rsid w:val="00680BC7"/>
    <w:rsid w:val="00680C4A"/>
    <w:rsid w:val="00681610"/>
    <w:rsid w:val="0068195E"/>
    <w:rsid w:val="00681CDD"/>
    <w:rsid w:val="00682418"/>
    <w:rsid w:val="00682671"/>
    <w:rsid w:val="00682D12"/>
    <w:rsid w:val="00682D85"/>
    <w:rsid w:val="00682F40"/>
    <w:rsid w:val="00683196"/>
    <w:rsid w:val="0068339B"/>
    <w:rsid w:val="006836A5"/>
    <w:rsid w:val="00683943"/>
    <w:rsid w:val="00683D92"/>
    <w:rsid w:val="006842DF"/>
    <w:rsid w:val="0068453C"/>
    <w:rsid w:val="006845CD"/>
    <w:rsid w:val="0068484B"/>
    <w:rsid w:val="00684BFF"/>
    <w:rsid w:val="00684E0A"/>
    <w:rsid w:val="0068506B"/>
    <w:rsid w:val="006851A5"/>
    <w:rsid w:val="0068523D"/>
    <w:rsid w:val="00685437"/>
    <w:rsid w:val="0068548B"/>
    <w:rsid w:val="006854DD"/>
    <w:rsid w:val="00685AC0"/>
    <w:rsid w:val="00685D32"/>
    <w:rsid w:val="00686286"/>
    <w:rsid w:val="006863E7"/>
    <w:rsid w:val="006864CB"/>
    <w:rsid w:val="006866C7"/>
    <w:rsid w:val="00686796"/>
    <w:rsid w:val="00686B06"/>
    <w:rsid w:val="00686CB5"/>
    <w:rsid w:val="006871AE"/>
    <w:rsid w:val="006871DF"/>
    <w:rsid w:val="00687565"/>
    <w:rsid w:val="0068777B"/>
    <w:rsid w:val="00687C46"/>
    <w:rsid w:val="00687E03"/>
    <w:rsid w:val="00687E91"/>
    <w:rsid w:val="00687FC6"/>
    <w:rsid w:val="00687FDD"/>
    <w:rsid w:val="0069006F"/>
    <w:rsid w:val="006901A7"/>
    <w:rsid w:val="006909D7"/>
    <w:rsid w:val="00690CE6"/>
    <w:rsid w:val="00690D18"/>
    <w:rsid w:val="00690D6D"/>
    <w:rsid w:val="00690E50"/>
    <w:rsid w:val="0069126E"/>
    <w:rsid w:val="00691484"/>
    <w:rsid w:val="006914FB"/>
    <w:rsid w:val="00691821"/>
    <w:rsid w:val="00691847"/>
    <w:rsid w:val="00691972"/>
    <w:rsid w:val="00691A32"/>
    <w:rsid w:val="00691DEF"/>
    <w:rsid w:val="00692064"/>
    <w:rsid w:val="006922B5"/>
    <w:rsid w:val="006924EF"/>
    <w:rsid w:val="0069272A"/>
    <w:rsid w:val="006927E6"/>
    <w:rsid w:val="006928FD"/>
    <w:rsid w:val="00692949"/>
    <w:rsid w:val="00692B1B"/>
    <w:rsid w:val="00692BA4"/>
    <w:rsid w:val="00692C25"/>
    <w:rsid w:val="006931CF"/>
    <w:rsid w:val="006932C4"/>
    <w:rsid w:val="006937FF"/>
    <w:rsid w:val="006939D0"/>
    <w:rsid w:val="006939F3"/>
    <w:rsid w:val="00693D55"/>
    <w:rsid w:val="00693DD9"/>
    <w:rsid w:val="006941AE"/>
    <w:rsid w:val="006947C3"/>
    <w:rsid w:val="006948F4"/>
    <w:rsid w:val="00694914"/>
    <w:rsid w:val="006949A8"/>
    <w:rsid w:val="00694ECA"/>
    <w:rsid w:val="00695B4B"/>
    <w:rsid w:val="00695BBE"/>
    <w:rsid w:val="00695C7E"/>
    <w:rsid w:val="00695EF3"/>
    <w:rsid w:val="00695F54"/>
    <w:rsid w:val="00696017"/>
    <w:rsid w:val="00696129"/>
    <w:rsid w:val="00696569"/>
    <w:rsid w:val="00696CDF"/>
    <w:rsid w:val="00696E76"/>
    <w:rsid w:val="00696E8B"/>
    <w:rsid w:val="00697218"/>
    <w:rsid w:val="006973EA"/>
    <w:rsid w:val="0069743E"/>
    <w:rsid w:val="0069775F"/>
    <w:rsid w:val="00697AA2"/>
    <w:rsid w:val="00697B16"/>
    <w:rsid w:val="00697D53"/>
    <w:rsid w:val="006A00A8"/>
    <w:rsid w:val="006A00FA"/>
    <w:rsid w:val="006A0500"/>
    <w:rsid w:val="006A0775"/>
    <w:rsid w:val="006A0AD0"/>
    <w:rsid w:val="006A0B7B"/>
    <w:rsid w:val="006A0D2E"/>
    <w:rsid w:val="006A0E7E"/>
    <w:rsid w:val="006A117F"/>
    <w:rsid w:val="006A1333"/>
    <w:rsid w:val="006A1702"/>
    <w:rsid w:val="006A1737"/>
    <w:rsid w:val="006A1748"/>
    <w:rsid w:val="006A1C07"/>
    <w:rsid w:val="006A1E3E"/>
    <w:rsid w:val="006A1E87"/>
    <w:rsid w:val="006A209C"/>
    <w:rsid w:val="006A20EA"/>
    <w:rsid w:val="006A21CE"/>
    <w:rsid w:val="006A225A"/>
    <w:rsid w:val="006A2454"/>
    <w:rsid w:val="006A2A1C"/>
    <w:rsid w:val="006A2A3A"/>
    <w:rsid w:val="006A2B16"/>
    <w:rsid w:val="006A2B1E"/>
    <w:rsid w:val="006A31A9"/>
    <w:rsid w:val="006A357D"/>
    <w:rsid w:val="006A35DF"/>
    <w:rsid w:val="006A3857"/>
    <w:rsid w:val="006A3866"/>
    <w:rsid w:val="006A39D2"/>
    <w:rsid w:val="006A47EA"/>
    <w:rsid w:val="006A48C8"/>
    <w:rsid w:val="006A49C7"/>
    <w:rsid w:val="006A4AE7"/>
    <w:rsid w:val="006A4FC1"/>
    <w:rsid w:val="006A507D"/>
    <w:rsid w:val="006A5244"/>
    <w:rsid w:val="006A5281"/>
    <w:rsid w:val="006A52ED"/>
    <w:rsid w:val="006A565A"/>
    <w:rsid w:val="006A5A93"/>
    <w:rsid w:val="006A5E47"/>
    <w:rsid w:val="006A6467"/>
    <w:rsid w:val="006A64B7"/>
    <w:rsid w:val="006A66A1"/>
    <w:rsid w:val="006A6854"/>
    <w:rsid w:val="006A6891"/>
    <w:rsid w:val="006A6D81"/>
    <w:rsid w:val="006A6F3E"/>
    <w:rsid w:val="006A7188"/>
    <w:rsid w:val="006A735C"/>
    <w:rsid w:val="006A76C4"/>
    <w:rsid w:val="006A79F0"/>
    <w:rsid w:val="006A7B17"/>
    <w:rsid w:val="006A7CF2"/>
    <w:rsid w:val="006A7E3B"/>
    <w:rsid w:val="006B0201"/>
    <w:rsid w:val="006B0313"/>
    <w:rsid w:val="006B03C9"/>
    <w:rsid w:val="006B0843"/>
    <w:rsid w:val="006B0CF2"/>
    <w:rsid w:val="006B0DCF"/>
    <w:rsid w:val="006B1336"/>
    <w:rsid w:val="006B13D4"/>
    <w:rsid w:val="006B1473"/>
    <w:rsid w:val="006B1601"/>
    <w:rsid w:val="006B169B"/>
    <w:rsid w:val="006B1746"/>
    <w:rsid w:val="006B1BBF"/>
    <w:rsid w:val="006B1E56"/>
    <w:rsid w:val="006B21BD"/>
    <w:rsid w:val="006B21F5"/>
    <w:rsid w:val="006B23F9"/>
    <w:rsid w:val="006B2608"/>
    <w:rsid w:val="006B2922"/>
    <w:rsid w:val="006B2BCC"/>
    <w:rsid w:val="006B2C65"/>
    <w:rsid w:val="006B32E3"/>
    <w:rsid w:val="006B33D9"/>
    <w:rsid w:val="006B33DF"/>
    <w:rsid w:val="006B346F"/>
    <w:rsid w:val="006B356F"/>
    <w:rsid w:val="006B3C8B"/>
    <w:rsid w:val="006B42BC"/>
    <w:rsid w:val="006B46B9"/>
    <w:rsid w:val="006B472D"/>
    <w:rsid w:val="006B4FB9"/>
    <w:rsid w:val="006B50C5"/>
    <w:rsid w:val="006B54BC"/>
    <w:rsid w:val="006B58DA"/>
    <w:rsid w:val="006B5A43"/>
    <w:rsid w:val="006B60B2"/>
    <w:rsid w:val="006B62DB"/>
    <w:rsid w:val="006B63A7"/>
    <w:rsid w:val="006B65FB"/>
    <w:rsid w:val="006B66AB"/>
    <w:rsid w:val="006B679E"/>
    <w:rsid w:val="006B6919"/>
    <w:rsid w:val="006B6A8A"/>
    <w:rsid w:val="006B6ACF"/>
    <w:rsid w:val="006B6B47"/>
    <w:rsid w:val="006B6B81"/>
    <w:rsid w:val="006B6F63"/>
    <w:rsid w:val="006B6F82"/>
    <w:rsid w:val="006B71ED"/>
    <w:rsid w:val="006B722D"/>
    <w:rsid w:val="006B72FE"/>
    <w:rsid w:val="006B76A0"/>
    <w:rsid w:val="006B7807"/>
    <w:rsid w:val="006B78DA"/>
    <w:rsid w:val="006B7E0E"/>
    <w:rsid w:val="006B7F15"/>
    <w:rsid w:val="006B7F32"/>
    <w:rsid w:val="006C019D"/>
    <w:rsid w:val="006C0405"/>
    <w:rsid w:val="006C05A0"/>
    <w:rsid w:val="006C096A"/>
    <w:rsid w:val="006C0ACC"/>
    <w:rsid w:val="006C0D32"/>
    <w:rsid w:val="006C146C"/>
    <w:rsid w:val="006C15A5"/>
    <w:rsid w:val="006C17D0"/>
    <w:rsid w:val="006C1C37"/>
    <w:rsid w:val="006C1E35"/>
    <w:rsid w:val="006C2298"/>
    <w:rsid w:val="006C23D4"/>
    <w:rsid w:val="006C281C"/>
    <w:rsid w:val="006C28EF"/>
    <w:rsid w:val="006C2C26"/>
    <w:rsid w:val="006C2D33"/>
    <w:rsid w:val="006C30CC"/>
    <w:rsid w:val="006C36C7"/>
    <w:rsid w:val="006C3E91"/>
    <w:rsid w:val="006C3F54"/>
    <w:rsid w:val="006C3FFE"/>
    <w:rsid w:val="006C40BC"/>
    <w:rsid w:val="006C412F"/>
    <w:rsid w:val="006C4899"/>
    <w:rsid w:val="006C4AA2"/>
    <w:rsid w:val="006C4EFF"/>
    <w:rsid w:val="006C518E"/>
    <w:rsid w:val="006C53FE"/>
    <w:rsid w:val="006C56E2"/>
    <w:rsid w:val="006C61F5"/>
    <w:rsid w:val="006C6425"/>
    <w:rsid w:val="006C64FE"/>
    <w:rsid w:val="006C6F2F"/>
    <w:rsid w:val="006C7596"/>
    <w:rsid w:val="006C79EE"/>
    <w:rsid w:val="006C7E12"/>
    <w:rsid w:val="006D001C"/>
    <w:rsid w:val="006D0085"/>
    <w:rsid w:val="006D0426"/>
    <w:rsid w:val="006D0904"/>
    <w:rsid w:val="006D0A1B"/>
    <w:rsid w:val="006D0E7B"/>
    <w:rsid w:val="006D0EB1"/>
    <w:rsid w:val="006D0EF3"/>
    <w:rsid w:val="006D0F09"/>
    <w:rsid w:val="006D1128"/>
    <w:rsid w:val="006D1410"/>
    <w:rsid w:val="006D1633"/>
    <w:rsid w:val="006D193D"/>
    <w:rsid w:val="006D1940"/>
    <w:rsid w:val="006D1986"/>
    <w:rsid w:val="006D1B12"/>
    <w:rsid w:val="006D20B7"/>
    <w:rsid w:val="006D23B9"/>
    <w:rsid w:val="006D2458"/>
    <w:rsid w:val="006D2536"/>
    <w:rsid w:val="006D264A"/>
    <w:rsid w:val="006D2743"/>
    <w:rsid w:val="006D277C"/>
    <w:rsid w:val="006D2BB4"/>
    <w:rsid w:val="006D2BEF"/>
    <w:rsid w:val="006D2D16"/>
    <w:rsid w:val="006D30EE"/>
    <w:rsid w:val="006D31D4"/>
    <w:rsid w:val="006D347C"/>
    <w:rsid w:val="006D3696"/>
    <w:rsid w:val="006D3A94"/>
    <w:rsid w:val="006D3D99"/>
    <w:rsid w:val="006D3EF0"/>
    <w:rsid w:val="006D4096"/>
    <w:rsid w:val="006D4245"/>
    <w:rsid w:val="006D4285"/>
    <w:rsid w:val="006D4414"/>
    <w:rsid w:val="006D452F"/>
    <w:rsid w:val="006D4890"/>
    <w:rsid w:val="006D4913"/>
    <w:rsid w:val="006D4CB7"/>
    <w:rsid w:val="006D51D3"/>
    <w:rsid w:val="006D51F7"/>
    <w:rsid w:val="006D5244"/>
    <w:rsid w:val="006D5566"/>
    <w:rsid w:val="006D563F"/>
    <w:rsid w:val="006D567E"/>
    <w:rsid w:val="006D56A6"/>
    <w:rsid w:val="006D56DC"/>
    <w:rsid w:val="006D5714"/>
    <w:rsid w:val="006D580B"/>
    <w:rsid w:val="006D59D3"/>
    <w:rsid w:val="006D5E14"/>
    <w:rsid w:val="006D5FE7"/>
    <w:rsid w:val="006D62C2"/>
    <w:rsid w:val="006D64BB"/>
    <w:rsid w:val="006D676F"/>
    <w:rsid w:val="006D683A"/>
    <w:rsid w:val="006D698B"/>
    <w:rsid w:val="006D6AE6"/>
    <w:rsid w:val="006D70AA"/>
    <w:rsid w:val="006D712A"/>
    <w:rsid w:val="006D71F7"/>
    <w:rsid w:val="006D743C"/>
    <w:rsid w:val="006D7780"/>
    <w:rsid w:val="006D7C53"/>
    <w:rsid w:val="006D7E3E"/>
    <w:rsid w:val="006E0225"/>
    <w:rsid w:val="006E028D"/>
    <w:rsid w:val="006E0437"/>
    <w:rsid w:val="006E0466"/>
    <w:rsid w:val="006E06C5"/>
    <w:rsid w:val="006E0B64"/>
    <w:rsid w:val="006E0C36"/>
    <w:rsid w:val="006E0EC6"/>
    <w:rsid w:val="006E1365"/>
    <w:rsid w:val="006E1815"/>
    <w:rsid w:val="006E1D09"/>
    <w:rsid w:val="006E2301"/>
    <w:rsid w:val="006E261A"/>
    <w:rsid w:val="006E26D5"/>
    <w:rsid w:val="006E34BE"/>
    <w:rsid w:val="006E3905"/>
    <w:rsid w:val="006E3B7A"/>
    <w:rsid w:val="006E480A"/>
    <w:rsid w:val="006E50B8"/>
    <w:rsid w:val="006E51BE"/>
    <w:rsid w:val="006E524B"/>
    <w:rsid w:val="006E52B9"/>
    <w:rsid w:val="006E5377"/>
    <w:rsid w:val="006E5383"/>
    <w:rsid w:val="006E552F"/>
    <w:rsid w:val="006E55EA"/>
    <w:rsid w:val="006E5966"/>
    <w:rsid w:val="006E6132"/>
    <w:rsid w:val="006E636A"/>
    <w:rsid w:val="006E6549"/>
    <w:rsid w:val="006E68A3"/>
    <w:rsid w:val="006E69C7"/>
    <w:rsid w:val="006E6A10"/>
    <w:rsid w:val="006E6B5E"/>
    <w:rsid w:val="006E6D5A"/>
    <w:rsid w:val="006E7088"/>
    <w:rsid w:val="006E7913"/>
    <w:rsid w:val="006E7A4E"/>
    <w:rsid w:val="006E7B88"/>
    <w:rsid w:val="006E7DE0"/>
    <w:rsid w:val="006F005C"/>
    <w:rsid w:val="006F0571"/>
    <w:rsid w:val="006F06FF"/>
    <w:rsid w:val="006F085E"/>
    <w:rsid w:val="006F08E8"/>
    <w:rsid w:val="006F0D25"/>
    <w:rsid w:val="006F0D75"/>
    <w:rsid w:val="006F0D7E"/>
    <w:rsid w:val="006F0DC3"/>
    <w:rsid w:val="006F1269"/>
    <w:rsid w:val="006F15E4"/>
    <w:rsid w:val="006F15EB"/>
    <w:rsid w:val="006F1751"/>
    <w:rsid w:val="006F1883"/>
    <w:rsid w:val="006F1D67"/>
    <w:rsid w:val="006F2425"/>
    <w:rsid w:val="006F243C"/>
    <w:rsid w:val="006F2499"/>
    <w:rsid w:val="006F261C"/>
    <w:rsid w:val="006F2731"/>
    <w:rsid w:val="006F2941"/>
    <w:rsid w:val="006F2D9F"/>
    <w:rsid w:val="006F2E66"/>
    <w:rsid w:val="006F3013"/>
    <w:rsid w:val="006F30BB"/>
    <w:rsid w:val="006F375C"/>
    <w:rsid w:val="006F3F11"/>
    <w:rsid w:val="006F3FAE"/>
    <w:rsid w:val="006F3FCF"/>
    <w:rsid w:val="006F4145"/>
    <w:rsid w:val="006F4464"/>
    <w:rsid w:val="006F44B5"/>
    <w:rsid w:val="006F4688"/>
    <w:rsid w:val="006F4735"/>
    <w:rsid w:val="006F485D"/>
    <w:rsid w:val="006F48DE"/>
    <w:rsid w:val="006F49E4"/>
    <w:rsid w:val="006F4B45"/>
    <w:rsid w:val="006F4C90"/>
    <w:rsid w:val="006F52B5"/>
    <w:rsid w:val="006F556F"/>
    <w:rsid w:val="006F5942"/>
    <w:rsid w:val="006F5973"/>
    <w:rsid w:val="006F59CB"/>
    <w:rsid w:val="006F60EB"/>
    <w:rsid w:val="006F64EB"/>
    <w:rsid w:val="006F68CB"/>
    <w:rsid w:val="006F6B1F"/>
    <w:rsid w:val="006F6D2E"/>
    <w:rsid w:val="006F71F0"/>
    <w:rsid w:val="006F7371"/>
    <w:rsid w:val="006F7595"/>
    <w:rsid w:val="006F79D9"/>
    <w:rsid w:val="006F7FD9"/>
    <w:rsid w:val="00700208"/>
    <w:rsid w:val="00700269"/>
    <w:rsid w:val="00700426"/>
    <w:rsid w:val="0070083D"/>
    <w:rsid w:val="0070105A"/>
    <w:rsid w:val="00701140"/>
    <w:rsid w:val="007012AF"/>
    <w:rsid w:val="007014D3"/>
    <w:rsid w:val="007015BF"/>
    <w:rsid w:val="00701887"/>
    <w:rsid w:val="00701C11"/>
    <w:rsid w:val="00701EE8"/>
    <w:rsid w:val="0070207B"/>
    <w:rsid w:val="00702166"/>
    <w:rsid w:val="00702237"/>
    <w:rsid w:val="00702352"/>
    <w:rsid w:val="007024E8"/>
    <w:rsid w:val="00702556"/>
    <w:rsid w:val="00702646"/>
    <w:rsid w:val="007026C5"/>
    <w:rsid w:val="007027AE"/>
    <w:rsid w:val="007027DF"/>
    <w:rsid w:val="007031AE"/>
    <w:rsid w:val="007032B7"/>
    <w:rsid w:val="00703580"/>
    <w:rsid w:val="0070358B"/>
    <w:rsid w:val="0070365F"/>
    <w:rsid w:val="007037B5"/>
    <w:rsid w:val="00703B22"/>
    <w:rsid w:val="00703CA4"/>
    <w:rsid w:val="00703EFD"/>
    <w:rsid w:val="0070412A"/>
    <w:rsid w:val="00704322"/>
    <w:rsid w:val="007043DE"/>
    <w:rsid w:val="007045FB"/>
    <w:rsid w:val="00704A4D"/>
    <w:rsid w:val="00704A6C"/>
    <w:rsid w:val="00704B7A"/>
    <w:rsid w:val="00704BDA"/>
    <w:rsid w:val="00704C19"/>
    <w:rsid w:val="00704FE4"/>
    <w:rsid w:val="007051AD"/>
    <w:rsid w:val="00705536"/>
    <w:rsid w:val="007055C9"/>
    <w:rsid w:val="00705765"/>
    <w:rsid w:val="00705A8E"/>
    <w:rsid w:val="00705F96"/>
    <w:rsid w:val="007060C5"/>
    <w:rsid w:val="0070655D"/>
    <w:rsid w:val="00706A82"/>
    <w:rsid w:val="00707664"/>
    <w:rsid w:val="00707A1A"/>
    <w:rsid w:val="00707C5B"/>
    <w:rsid w:val="00707D50"/>
    <w:rsid w:val="00707F59"/>
    <w:rsid w:val="00710628"/>
    <w:rsid w:val="007107F0"/>
    <w:rsid w:val="00710873"/>
    <w:rsid w:val="007115CF"/>
    <w:rsid w:val="00711A17"/>
    <w:rsid w:val="00711B4D"/>
    <w:rsid w:val="00711F62"/>
    <w:rsid w:val="0071251C"/>
    <w:rsid w:val="007126D9"/>
    <w:rsid w:val="00712830"/>
    <w:rsid w:val="00712E40"/>
    <w:rsid w:val="00712EB3"/>
    <w:rsid w:val="00713645"/>
    <w:rsid w:val="0071371B"/>
    <w:rsid w:val="007137F2"/>
    <w:rsid w:val="00713C1A"/>
    <w:rsid w:val="00713C37"/>
    <w:rsid w:val="00713C8D"/>
    <w:rsid w:val="00713F1B"/>
    <w:rsid w:val="007141FB"/>
    <w:rsid w:val="00714565"/>
    <w:rsid w:val="00714BB3"/>
    <w:rsid w:val="00715501"/>
    <w:rsid w:val="00715AEF"/>
    <w:rsid w:val="00715F50"/>
    <w:rsid w:val="007162F3"/>
    <w:rsid w:val="00716339"/>
    <w:rsid w:val="007163EA"/>
    <w:rsid w:val="00716B1D"/>
    <w:rsid w:val="00716CB0"/>
    <w:rsid w:val="00716CC9"/>
    <w:rsid w:val="00716F20"/>
    <w:rsid w:val="0071756F"/>
    <w:rsid w:val="0071762B"/>
    <w:rsid w:val="00717798"/>
    <w:rsid w:val="00717840"/>
    <w:rsid w:val="00717B09"/>
    <w:rsid w:val="0072003F"/>
    <w:rsid w:val="007200B3"/>
    <w:rsid w:val="00720208"/>
    <w:rsid w:val="007206F0"/>
    <w:rsid w:val="00720907"/>
    <w:rsid w:val="00721568"/>
    <w:rsid w:val="00721589"/>
    <w:rsid w:val="007215B0"/>
    <w:rsid w:val="0072169D"/>
    <w:rsid w:val="00721779"/>
    <w:rsid w:val="007218D9"/>
    <w:rsid w:val="007222F7"/>
    <w:rsid w:val="00722428"/>
    <w:rsid w:val="00722574"/>
    <w:rsid w:val="00722D32"/>
    <w:rsid w:val="00722E77"/>
    <w:rsid w:val="00722F06"/>
    <w:rsid w:val="00723363"/>
    <w:rsid w:val="00723A3A"/>
    <w:rsid w:val="00723D08"/>
    <w:rsid w:val="00723F64"/>
    <w:rsid w:val="007242AB"/>
    <w:rsid w:val="00724A36"/>
    <w:rsid w:val="00724A64"/>
    <w:rsid w:val="00724A6E"/>
    <w:rsid w:val="0072516D"/>
    <w:rsid w:val="00725F82"/>
    <w:rsid w:val="00725FD0"/>
    <w:rsid w:val="00726211"/>
    <w:rsid w:val="0072666B"/>
    <w:rsid w:val="00726CF4"/>
    <w:rsid w:val="00726E09"/>
    <w:rsid w:val="00726EC4"/>
    <w:rsid w:val="00726F08"/>
    <w:rsid w:val="00726FD8"/>
    <w:rsid w:val="0072704B"/>
    <w:rsid w:val="00727159"/>
    <w:rsid w:val="0072716D"/>
    <w:rsid w:val="00727848"/>
    <w:rsid w:val="00727874"/>
    <w:rsid w:val="00727A62"/>
    <w:rsid w:val="007300DA"/>
    <w:rsid w:val="00730259"/>
    <w:rsid w:val="00730446"/>
    <w:rsid w:val="00730AB4"/>
    <w:rsid w:val="00730BB5"/>
    <w:rsid w:val="00730C01"/>
    <w:rsid w:val="00730EA5"/>
    <w:rsid w:val="00730FAC"/>
    <w:rsid w:val="007312A4"/>
    <w:rsid w:val="0073143C"/>
    <w:rsid w:val="007314BB"/>
    <w:rsid w:val="007314F7"/>
    <w:rsid w:val="0073150B"/>
    <w:rsid w:val="00731798"/>
    <w:rsid w:val="00731BD9"/>
    <w:rsid w:val="00731DA8"/>
    <w:rsid w:val="00731DC4"/>
    <w:rsid w:val="00731EC9"/>
    <w:rsid w:val="00731F75"/>
    <w:rsid w:val="00732298"/>
    <w:rsid w:val="007324FB"/>
    <w:rsid w:val="007325DA"/>
    <w:rsid w:val="00732B60"/>
    <w:rsid w:val="00732D74"/>
    <w:rsid w:val="00732DFC"/>
    <w:rsid w:val="00732F5A"/>
    <w:rsid w:val="007333DE"/>
    <w:rsid w:val="00733AAC"/>
    <w:rsid w:val="00733B1E"/>
    <w:rsid w:val="00734054"/>
    <w:rsid w:val="00734654"/>
    <w:rsid w:val="0073467F"/>
    <w:rsid w:val="007349E1"/>
    <w:rsid w:val="00734C37"/>
    <w:rsid w:val="00735059"/>
    <w:rsid w:val="00735279"/>
    <w:rsid w:val="00735501"/>
    <w:rsid w:val="007358D5"/>
    <w:rsid w:val="00735A99"/>
    <w:rsid w:val="00735BBC"/>
    <w:rsid w:val="00735C30"/>
    <w:rsid w:val="00736300"/>
    <w:rsid w:val="00736482"/>
    <w:rsid w:val="0073675B"/>
    <w:rsid w:val="00736BF5"/>
    <w:rsid w:val="00737339"/>
    <w:rsid w:val="007373B4"/>
    <w:rsid w:val="0073795F"/>
    <w:rsid w:val="00737A6B"/>
    <w:rsid w:val="0074003B"/>
    <w:rsid w:val="007400D9"/>
    <w:rsid w:val="00740140"/>
    <w:rsid w:val="007401C2"/>
    <w:rsid w:val="007402DC"/>
    <w:rsid w:val="007403CB"/>
    <w:rsid w:val="007403DE"/>
    <w:rsid w:val="007407C3"/>
    <w:rsid w:val="00740815"/>
    <w:rsid w:val="007409FC"/>
    <w:rsid w:val="00740B02"/>
    <w:rsid w:val="00740C57"/>
    <w:rsid w:val="00740CDD"/>
    <w:rsid w:val="00741035"/>
    <w:rsid w:val="0074103A"/>
    <w:rsid w:val="007411EB"/>
    <w:rsid w:val="00741300"/>
    <w:rsid w:val="0074159D"/>
    <w:rsid w:val="0074184F"/>
    <w:rsid w:val="00741C51"/>
    <w:rsid w:val="00741E5A"/>
    <w:rsid w:val="00742115"/>
    <w:rsid w:val="007423B1"/>
    <w:rsid w:val="00742423"/>
    <w:rsid w:val="00742495"/>
    <w:rsid w:val="00742A50"/>
    <w:rsid w:val="007437D0"/>
    <w:rsid w:val="00743A94"/>
    <w:rsid w:val="00743BC6"/>
    <w:rsid w:val="00743CC2"/>
    <w:rsid w:val="00743D4A"/>
    <w:rsid w:val="00743DF0"/>
    <w:rsid w:val="007446CB"/>
    <w:rsid w:val="007446E3"/>
    <w:rsid w:val="007448C1"/>
    <w:rsid w:val="00744AAE"/>
    <w:rsid w:val="00744E40"/>
    <w:rsid w:val="00744E42"/>
    <w:rsid w:val="00744F00"/>
    <w:rsid w:val="00744F07"/>
    <w:rsid w:val="0074518A"/>
    <w:rsid w:val="007456AC"/>
    <w:rsid w:val="00745D08"/>
    <w:rsid w:val="007464E9"/>
    <w:rsid w:val="00746842"/>
    <w:rsid w:val="00746CCF"/>
    <w:rsid w:val="007472F9"/>
    <w:rsid w:val="00747555"/>
    <w:rsid w:val="0074786E"/>
    <w:rsid w:val="00747B80"/>
    <w:rsid w:val="00747BED"/>
    <w:rsid w:val="00750378"/>
    <w:rsid w:val="00750CFB"/>
    <w:rsid w:val="00750DF4"/>
    <w:rsid w:val="00750F04"/>
    <w:rsid w:val="0075111C"/>
    <w:rsid w:val="007512EA"/>
    <w:rsid w:val="007513A5"/>
    <w:rsid w:val="007516DA"/>
    <w:rsid w:val="00751928"/>
    <w:rsid w:val="00751E4A"/>
    <w:rsid w:val="00751EF6"/>
    <w:rsid w:val="007520C2"/>
    <w:rsid w:val="0075297B"/>
    <w:rsid w:val="00752BF4"/>
    <w:rsid w:val="00752DBB"/>
    <w:rsid w:val="007532B3"/>
    <w:rsid w:val="00753336"/>
    <w:rsid w:val="00753338"/>
    <w:rsid w:val="007533F4"/>
    <w:rsid w:val="007538DF"/>
    <w:rsid w:val="007541FE"/>
    <w:rsid w:val="00754240"/>
    <w:rsid w:val="007545D2"/>
    <w:rsid w:val="00754739"/>
    <w:rsid w:val="0075483E"/>
    <w:rsid w:val="00754883"/>
    <w:rsid w:val="00754A71"/>
    <w:rsid w:val="00754C35"/>
    <w:rsid w:val="00754E77"/>
    <w:rsid w:val="00755353"/>
    <w:rsid w:val="00755387"/>
    <w:rsid w:val="00755879"/>
    <w:rsid w:val="00755B0D"/>
    <w:rsid w:val="00755C9D"/>
    <w:rsid w:val="00755CEC"/>
    <w:rsid w:val="00755D0D"/>
    <w:rsid w:val="0075610B"/>
    <w:rsid w:val="00756212"/>
    <w:rsid w:val="0075634C"/>
    <w:rsid w:val="00756383"/>
    <w:rsid w:val="00756610"/>
    <w:rsid w:val="007566B8"/>
    <w:rsid w:val="00756C89"/>
    <w:rsid w:val="00756D2A"/>
    <w:rsid w:val="00756E1C"/>
    <w:rsid w:val="007570E6"/>
    <w:rsid w:val="0075777A"/>
    <w:rsid w:val="0075787F"/>
    <w:rsid w:val="0075795C"/>
    <w:rsid w:val="007579FC"/>
    <w:rsid w:val="007579FF"/>
    <w:rsid w:val="0076019A"/>
    <w:rsid w:val="00760539"/>
    <w:rsid w:val="00760FD1"/>
    <w:rsid w:val="00761042"/>
    <w:rsid w:val="0076144E"/>
    <w:rsid w:val="00761658"/>
    <w:rsid w:val="0076179C"/>
    <w:rsid w:val="007619B5"/>
    <w:rsid w:val="00761C44"/>
    <w:rsid w:val="00761F58"/>
    <w:rsid w:val="007623C7"/>
    <w:rsid w:val="0076269B"/>
    <w:rsid w:val="007627CB"/>
    <w:rsid w:val="007627EA"/>
    <w:rsid w:val="0076281D"/>
    <w:rsid w:val="00762835"/>
    <w:rsid w:val="007629E5"/>
    <w:rsid w:val="00762A73"/>
    <w:rsid w:val="00762B50"/>
    <w:rsid w:val="00762D07"/>
    <w:rsid w:val="00763349"/>
    <w:rsid w:val="00763450"/>
    <w:rsid w:val="007636A5"/>
    <w:rsid w:val="00763976"/>
    <w:rsid w:val="00763A42"/>
    <w:rsid w:val="00763B30"/>
    <w:rsid w:val="00763B9D"/>
    <w:rsid w:val="00763D1A"/>
    <w:rsid w:val="00763E1C"/>
    <w:rsid w:val="007644BC"/>
    <w:rsid w:val="007649C7"/>
    <w:rsid w:val="00764BD3"/>
    <w:rsid w:val="00764C38"/>
    <w:rsid w:val="00764F1D"/>
    <w:rsid w:val="00764F9A"/>
    <w:rsid w:val="00764FAC"/>
    <w:rsid w:val="0076506B"/>
    <w:rsid w:val="0076517E"/>
    <w:rsid w:val="007651AC"/>
    <w:rsid w:val="007653BD"/>
    <w:rsid w:val="00765DAB"/>
    <w:rsid w:val="00766205"/>
    <w:rsid w:val="007662D8"/>
    <w:rsid w:val="00766CC8"/>
    <w:rsid w:val="00766F81"/>
    <w:rsid w:val="00767074"/>
    <w:rsid w:val="0076707A"/>
    <w:rsid w:val="00767281"/>
    <w:rsid w:val="0076755E"/>
    <w:rsid w:val="00767578"/>
    <w:rsid w:val="00767974"/>
    <w:rsid w:val="00767A71"/>
    <w:rsid w:val="00767BE4"/>
    <w:rsid w:val="00767BF5"/>
    <w:rsid w:val="00767C8E"/>
    <w:rsid w:val="007704C6"/>
    <w:rsid w:val="007705DF"/>
    <w:rsid w:val="00770683"/>
    <w:rsid w:val="00770D8D"/>
    <w:rsid w:val="00771457"/>
    <w:rsid w:val="00771671"/>
    <w:rsid w:val="007718DD"/>
    <w:rsid w:val="00771966"/>
    <w:rsid w:val="007719D7"/>
    <w:rsid w:val="00771F08"/>
    <w:rsid w:val="00771FDF"/>
    <w:rsid w:val="007720C6"/>
    <w:rsid w:val="00772550"/>
    <w:rsid w:val="00772767"/>
    <w:rsid w:val="00772DAF"/>
    <w:rsid w:val="00772E61"/>
    <w:rsid w:val="0077368B"/>
    <w:rsid w:val="00773936"/>
    <w:rsid w:val="00773C0E"/>
    <w:rsid w:val="00773D87"/>
    <w:rsid w:val="00774186"/>
    <w:rsid w:val="007742AB"/>
    <w:rsid w:val="00774324"/>
    <w:rsid w:val="0077440E"/>
    <w:rsid w:val="0077454B"/>
    <w:rsid w:val="007745D0"/>
    <w:rsid w:val="00774943"/>
    <w:rsid w:val="00774B35"/>
    <w:rsid w:val="00774C32"/>
    <w:rsid w:val="00774C3E"/>
    <w:rsid w:val="00774E7C"/>
    <w:rsid w:val="007753C8"/>
    <w:rsid w:val="007756BF"/>
    <w:rsid w:val="00775774"/>
    <w:rsid w:val="00775B89"/>
    <w:rsid w:val="0077625A"/>
    <w:rsid w:val="00776490"/>
    <w:rsid w:val="0077672A"/>
    <w:rsid w:val="00776DA6"/>
    <w:rsid w:val="00776EC8"/>
    <w:rsid w:val="00776ECC"/>
    <w:rsid w:val="00776EF6"/>
    <w:rsid w:val="007771B3"/>
    <w:rsid w:val="007771BD"/>
    <w:rsid w:val="0077752F"/>
    <w:rsid w:val="00777714"/>
    <w:rsid w:val="00777724"/>
    <w:rsid w:val="00777832"/>
    <w:rsid w:val="00777AC2"/>
    <w:rsid w:val="00777D2E"/>
    <w:rsid w:val="00777F23"/>
    <w:rsid w:val="00777F6A"/>
    <w:rsid w:val="00777FC3"/>
    <w:rsid w:val="00780E53"/>
    <w:rsid w:val="00780F08"/>
    <w:rsid w:val="0078103F"/>
    <w:rsid w:val="007816A7"/>
    <w:rsid w:val="00781813"/>
    <w:rsid w:val="00781842"/>
    <w:rsid w:val="0078196A"/>
    <w:rsid w:val="00781D3F"/>
    <w:rsid w:val="00781D98"/>
    <w:rsid w:val="0078202A"/>
    <w:rsid w:val="007822BA"/>
    <w:rsid w:val="0078243E"/>
    <w:rsid w:val="0078256D"/>
    <w:rsid w:val="007828BC"/>
    <w:rsid w:val="00782990"/>
    <w:rsid w:val="00782F84"/>
    <w:rsid w:val="0078311C"/>
    <w:rsid w:val="007831DD"/>
    <w:rsid w:val="0078330D"/>
    <w:rsid w:val="007836E6"/>
    <w:rsid w:val="00783797"/>
    <w:rsid w:val="0078383E"/>
    <w:rsid w:val="00783BE0"/>
    <w:rsid w:val="00783DC4"/>
    <w:rsid w:val="007848A5"/>
    <w:rsid w:val="00784B47"/>
    <w:rsid w:val="00784BC5"/>
    <w:rsid w:val="00784EB4"/>
    <w:rsid w:val="00784F4E"/>
    <w:rsid w:val="00785334"/>
    <w:rsid w:val="0078569F"/>
    <w:rsid w:val="007857C5"/>
    <w:rsid w:val="00785A9A"/>
    <w:rsid w:val="007861B8"/>
    <w:rsid w:val="0078672B"/>
    <w:rsid w:val="0078688A"/>
    <w:rsid w:val="00786E69"/>
    <w:rsid w:val="00786EB2"/>
    <w:rsid w:val="00786ED3"/>
    <w:rsid w:val="007871B1"/>
    <w:rsid w:val="007871B2"/>
    <w:rsid w:val="00787A6F"/>
    <w:rsid w:val="00787D73"/>
    <w:rsid w:val="00787E34"/>
    <w:rsid w:val="00787F2E"/>
    <w:rsid w:val="007905C5"/>
    <w:rsid w:val="007906B9"/>
    <w:rsid w:val="007906BC"/>
    <w:rsid w:val="00790F4A"/>
    <w:rsid w:val="00791900"/>
    <w:rsid w:val="00791BB6"/>
    <w:rsid w:val="00791C6B"/>
    <w:rsid w:val="00791EA1"/>
    <w:rsid w:val="00791EEE"/>
    <w:rsid w:val="00792195"/>
    <w:rsid w:val="007928EC"/>
    <w:rsid w:val="00792BF3"/>
    <w:rsid w:val="00792C64"/>
    <w:rsid w:val="007933FF"/>
    <w:rsid w:val="00793608"/>
    <w:rsid w:val="0079368F"/>
    <w:rsid w:val="007937B1"/>
    <w:rsid w:val="007937E9"/>
    <w:rsid w:val="00793C8B"/>
    <w:rsid w:val="00793CF0"/>
    <w:rsid w:val="00794225"/>
    <w:rsid w:val="0079458D"/>
    <w:rsid w:val="0079461B"/>
    <w:rsid w:val="007948AC"/>
    <w:rsid w:val="00794A08"/>
    <w:rsid w:val="00794B48"/>
    <w:rsid w:val="00794E6D"/>
    <w:rsid w:val="00794FD1"/>
    <w:rsid w:val="00795046"/>
    <w:rsid w:val="0079504B"/>
    <w:rsid w:val="007950B9"/>
    <w:rsid w:val="00795254"/>
    <w:rsid w:val="00795462"/>
    <w:rsid w:val="00795593"/>
    <w:rsid w:val="00795D10"/>
    <w:rsid w:val="00795D58"/>
    <w:rsid w:val="00795DD0"/>
    <w:rsid w:val="00795E9C"/>
    <w:rsid w:val="00796002"/>
    <w:rsid w:val="00796073"/>
    <w:rsid w:val="0079617F"/>
    <w:rsid w:val="007964C0"/>
    <w:rsid w:val="00796CA2"/>
    <w:rsid w:val="00796DF9"/>
    <w:rsid w:val="00796FBC"/>
    <w:rsid w:val="007970DE"/>
    <w:rsid w:val="00797596"/>
    <w:rsid w:val="007976EA"/>
    <w:rsid w:val="00797915"/>
    <w:rsid w:val="00797A63"/>
    <w:rsid w:val="00797CE8"/>
    <w:rsid w:val="007A00BE"/>
    <w:rsid w:val="007A01FC"/>
    <w:rsid w:val="007A02AD"/>
    <w:rsid w:val="007A03C1"/>
    <w:rsid w:val="007A091A"/>
    <w:rsid w:val="007A0D48"/>
    <w:rsid w:val="007A10A5"/>
    <w:rsid w:val="007A1230"/>
    <w:rsid w:val="007A1406"/>
    <w:rsid w:val="007A15E2"/>
    <w:rsid w:val="007A1639"/>
    <w:rsid w:val="007A1A05"/>
    <w:rsid w:val="007A1A73"/>
    <w:rsid w:val="007A1BCA"/>
    <w:rsid w:val="007A1DDB"/>
    <w:rsid w:val="007A1FCE"/>
    <w:rsid w:val="007A2011"/>
    <w:rsid w:val="007A2438"/>
    <w:rsid w:val="007A26B3"/>
    <w:rsid w:val="007A2EB7"/>
    <w:rsid w:val="007A3056"/>
    <w:rsid w:val="007A3068"/>
    <w:rsid w:val="007A32AD"/>
    <w:rsid w:val="007A35A9"/>
    <w:rsid w:val="007A35C6"/>
    <w:rsid w:val="007A3673"/>
    <w:rsid w:val="007A387C"/>
    <w:rsid w:val="007A388D"/>
    <w:rsid w:val="007A3970"/>
    <w:rsid w:val="007A399D"/>
    <w:rsid w:val="007A39D3"/>
    <w:rsid w:val="007A3A02"/>
    <w:rsid w:val="007A3AE0"/>
    <w:rsid w:val="007A3E49"/>
    <w:rsid w:val="007A4EE3"/>
    <w:rsid w:val="007A5060"/>
    <w:rsid w:val="007A50A4"/>
    <w:rsid w:val="007A51F9"/>
    <w:rsid w:val="007A5294"/>
    <w:rsid w:val="007A55EE"/>
    <w:rsid w:val="007A5B9A"/>
    <w:rsid w:val="007A5C3B"/>
    <w:rsid w:val="007A61E0"/>
    <w:rsid w:val="007A65CD"/>
    <w:rsid w:val="007A65E5"/>
    <w:rsid w:val="007A6659"/>
    <w:rsid w:val="007A676C"/>
    <w:rsid w:val="007A67CE"/>
    <w:rsid w:val="007A6A0D"/>
    <w:rsid w:val="007A6F52"/>
    <w:rsid w:val="007A741F"/>
    <w:rsid w:val="007A7C59"/>
    <w:rsid w:val="007A7E93"/>
    <w:rsid w:val="007B00F3"/>
    <w:rsid w:val="007B04BB"/>
    <w:rsid w:val="007B079F"/>
    <w:rsid w:val="007B0E7C"/>
    <w:rsid w:val="007B0FF3"/>
    <w:rsid w:val="007B1038"/>
    <w:rsid w:val="007B1132"/>
    <w:rsid w:val="007B12B9"/>
    <w:rsid w:val="007B1540"/>
    <w:rsid w:val="007B15C5"/>
    <w:rsid w:val="007B1631"/>
    <w:rsid w:val="007B1A75"/>
    <w:rsid w:val="007B1C44"/>
    <w:rsid w:val="007B1D53"/>
    <w:rsid w:val="007B1DD9"/>
    <w:rsid w:val="007B229B"/>
    <w:rsid w:val="007B22E6"/>
    <w:rsid w:val="007B244D"/>
    <w:rsid w:val="007B25ED"/>
    <w:rsid w:val="007B2616"/>
    <w:rsid w:val="007B26DF"/>
    <w:rsid w:val="007B2709"/>
    <w:rsid w:val="007B33AE"/>
    <w:rsid w:val="007B33C7"/>
    <w:rsid w:val="007B36CC"/>
    <w:rsid w:val="007B3B65"/>
    <w:rsid w:val="007B5479"/>
    <w:rsid w:val="007B56A6"/>
    <w:rsid w:val="007B593D"/>
    <w:rsid w:val="007B5BFE"/>
    <w:rsid w:val="007B6557"/>
    <w:rsid w:val="007B6D3F"/>
    <w:rsid w:val="007B71A4"/>
    <w:rsid w:val="007B72E8"/>
    <w:rsid w:val="007B73DA"/>
    <w:rsid w:val="007B7F06"/>
    <w:rsid w:val="007C0030"/>
    <w:rsid w:val="007C071B"/>
    <w:rsid w:val="007C07A1"/>
    <w:rsid w:val="007C0A27"/>
    <w:rsid w:val="007C0F61"/>
    <w:rsid w:val="007C1A8D"/>
    <w:rsid w:val="007C2681"/>
    <w:rsid w:val="007C2836"/>
    <w:rsid w:val="007C284C"/>
    <w:rsid w:val="007C2B05"/>
    <w:rsid w:val="007C2B54"/>
    <w:rsid w:val="007C2F0C"/>
    <w:rsid w:val="007C3248"/>
    <w:rsid w:val="007C3A5E"/>
    <w:rsid w:val="007C3BE4"/>
    <w:rsid w:val="007C3F28"/>
    <w:rsid w:val="007C45C7"/>
    <w:rsid w:val="007C4650"/>
    <w:rsid w:val="007C4EEB"/>
    <w:rsid w:val="007C5041"/>
    <w:rsid w:val="007C5133"/>
    <w:rsid w:val="007C53F4"/>
    <w:rsid w:val="007C5464"/>
    <w:rsid w:val="007C5C92"/>
    <w:rsid w:val="007C61D9"/>
    <w:rsid w:val="007C61F3"/>
    <w:rsid w:val="007C6392"/>
    <w:rsid w:val="007C65CD"/>
    <w:rsid w:val="007C67CE"/>
    <w:rsid w:val="007C6904"/>
    <w:rsid w:val="007C6CB8"/>
    <w:rsid w:val="007C6D20"/>
    <w:rsid w:val="007C6FAC"/>
    <w:rsid w:val="007C735D"/>
    <w:rsid w:val="007C76FD"/>
    <w:rsid w:val="007C7868"/>
    <w:rsid w:val="007C7A8D"/>
    <w:rsid w:val="007C7CF3"/>
    <w:rsid w:val="007C7F75"/>
    <w:rsid w:val="007D0263"/>
    <w:rsid w:val="007D034A"/>
    <w:rsid w:val="007D03EC"/>
    <w:rsid w:val="007D0554"/>
    <w:rsid w:val="007D0599"/>
    <w:rsid w:val="007D0739"/>
    <w:rsid w:val="007D0B77"/>
    <w:rsid w:val="007D1066"/>
    <w:rsid w:val="007D1068"/>
    <w:rsid w:val="007D1178"/>
    <w:rsid w:val="007D117B"/>
    <w:rsid w:val="007D1457"/>
    <w:rsid w:val="007D1710"/>
    <w:rsid w:val="007D1B59"/>
    <w:rsid w:val="007D1D8C"/>
    <w:rsid w:val="007D1EEE"/>
    <w:rsid w:val="007D2256"/>
    <w:rsid w:val="007D299D"/>
    <w:rsid w:val="007D29FB"/>
    <w:rsid w:val="007D2E1F"/>
    <w:rsid w:val="007D3203"/>
    <w:rsid w:val="007D3665"/>
    <w:rsid w:val="007D36C6"/>
    <w:rsid w:val="007D3752"/>
    <w:rsid w:val="007D3B15"/>
    <w:rsid w:val="007D431C"/>
    <w:rsid w:val="007D4361"/>
    <w:rsid w:val="007D445C"/>
    <w:rsid w:val="007D46DD"/>
    <w:rsid w:val="007D4B9E"/>
    <w:rsid w:val="007D4D38"/>
    <w:rsid w:val="007D5560"/>
    <w:rsid w:val="007D559B"/>
    <w:rsid w:val="007D56E8"/>
    <w:rsid w:val="007D591A"/>
    <w:rsid w:val="007D5D16"/>
    <w:rsid w:val="007D5D44"/>
    <w:rsid w:val="007D5ED3"/>
    <w:rsid w:val="007D5FDB"/>
    <w:rsid w:val="007D60D9"/>
    <w:rsid w:val="007D646C"/>
    <w:rsid w:val="007D6862"/>
    <w:rsid w:val="007D69CD"/>
    <w:rsid w:val="007D6EE1"/>
    <w:rsid w:val="007D71E0"/>
    <w:rsid w:val="007D73EE"/>
    <w:rsid w:val="007D7511"/>
    <w:rsid w:val="007D7719"/>
    <w:rsid w:val="007D776B"/>
    <w:rsid w:val="007D7936"/>
    <w:rsid w:val="007D7998"/>
    <w:rsid w:val="007D79C2"/>
    <w:rsid w:val="007D7A89"/>
    <w:rsid w:val="007D7BAD"/>
    <w:rsid w:val="007D7C3B"/>
    <w:rsid w:val="007D7DF1"/>
    <w:rsid w:val="007E0251"/>
    <w:rsid w:val="007E031E"/>
    <w:rsid w:val="007E0598"/>
    <w:rsid w:val="007E0836"/>
    <w:rsid w:val="007E0863"/>
    <w:rsid w:val="007E0A18"/>
    <w:rsid w:val="007E0C4F"/>
    <w:rsid w:val="007E0EC3"/>
    <w:rsid w:val="007E0EFC"/>
    <w:rsid w:val="007E10CE"/>
    <w:rsid w:val="007E1809"/>
    <w:rsid w:val="007E199F"/>
    <w:rsid w:val="007E1AE3"/>
    <w:rsid w:val="007E1C15"/>
    <w:rsid w:val="007E1EA3"/>
    <w:rsid w:val="007E1EA5"/>
    <w:rsid w:val="007E2016"/>
    <w:rsid w:val="007E2B41"/>
    <w:rsid w:val="007E2BDB"/>
    <w:rsid w:val="007E3696"/>
    <w:rsid w:val="007E3786"/>
    <w:rsid w:val="007E4195"/>
    <w:rsid w:val="007E4338"/>
    <w:rsid w:val="007E49DB"/>
    <w:rsid w:val="007E4B64"/>
    <w:rsid w:val="007E4BBD"/>
    <w:rsid w:val="007E4D9B"/>
    <w:rsid w:val="007E508F"/>
    <w:rsid w:val="007E54F1"/>
    <w:rsid w:val="007E55CA"/>
    <w:rsid w:val="007E55EA"/>
    <w:rsid w:val="007E5A9E"/>
    <w:rsid w:val="007E5D41"/>
    <w:rsid w:val="007E6319"/>
    <w:rsid w:val="007E635A"/>
    <w:rsid w:val="007E6A35"/>
    <w:rsid w:val="007E6BF7"/>
    <w:rsid w:val="007E6CD7"/>
    <w:rsid w:val="007E70FC"/>
    <w:rsid w:val="007E7D73"/>
    <w:rsid w:val="007E7D9B"/>
    <w:rsid w:val="007E7DB0"/>
    <w:rsid w:val="007F0559"/>
    <w:rsid w:val="007F067B"/>
    <w:rsid w:val="007F08F9"/>
    <w:rsid w:val="007F15F3"/>
    <w:rsid w:val="007F16D4"/>
    <w:rsid w:val="007F17C1"/>
    <w:rsid w:val="007F1E58"/>
    <w:rsid w:val="007F1E6A"/>
    <w:rsid w:val="007F2027"/>
    <w:rsid w:val="007F267E"/>
    <w:rsid w:val="007F26E2"/>
    <w:rsid w:val="007F28D7"/>
    <w:rsid w:val="007F2B79"/>
    <w:rsid w:val="007F2F0F"/>
    <w:rsid w:val="007F320B"/>
    <w:rsid w:val="007F3591"/>
    <w:rsid w:val="007F3622"/>
    <w:rsid w:val="007F3964"/>
    <w:rsid w:val="007F3B88"/>
    <w:rsid w:val="007F3E76"/>
    <w:rsid w:val="007F40E5"/>
    <w:rsid w:val="007F4204"/>
    <w:rsid w:val="007F4297"/>
    <w:rsid w:val="007F43B2"/>
    <w:rsid w:val="007F457C"/>
    <w:rsid w:val="007F45E6"/>
    <w:rsid w:val="007F4671"/>
    <w:rsid w:val="007F4E7D"/>
    <w:rsid w:val="007F4F1D"/>
    <w:rsid w:val="007F51F8"/>
    <w:rsid w:val="007F52FD"/>
    <w:rsid w:val="007F530B"/>
    <w:rsid w:val="007F55BD"/>
    <w:rsid w:val="007F56E0"/>
    <w:rsid w:val="007F571E"/>
    <w:rsid w:val="007F5B03"/>
    <w:rsid w:val="007F5C48"/>
    <w:rsid w:val="007F5EA3"/>
    <w:rsid w:val="007F5EBD"/>
    <w:rsid w:val="007F613D"/>
    <w:rsid w:val="007F61FF"/>
    <w:rsid w:val="007F6434"/>
    <w:rsid w:val="007F6669"/>
    <w:rsid w:val="007F66BD"/>
    <w:rsid w:val="007F68A6"/>
    <w:rsid w:val="007F69F2"/>
    <w:rsid w:val="007F6C29"/>
    <w:rsid w:val="007F6C6C"/>
    <w:rsid w:val="007F7361"/>
    <w:rsid w:val="007F7756"/>
    <w:rsid w:val="007F77FB"/>
    <w:rsid w:val="007F7923"/>
    <w:rsid w:val="007F7F04"/>
    <w:rsid w:val="00800563"/>
    <w:rsid w:val="00800610"/>
    <w:rsid w:val="008006B9"/>
    <w:rsid w:val="00800B73"/>
    <w:rsid w:val="00801A90"/>
    <w:rsid w:val="00801D1C"/>
    <w:rsid w:val="00801F94"/>
    <w:rsid w:val="0080206C"/>
    <w:rsid w:val="008020FE"/>
    <w:rsid w:val="00802227"/>
    <w:rsid w:val="0080228D"/>
    <w:rsid w:val="00802647"/>
    <w:rsid w:val="008028AE"/>
    <w:rsid w:val="00802AC3"/>
    <w:rsid w:val="00802CF8"/>
    <w:rsid w:val="00803008"/>
    <w:rsid w:val="0080306A"/>
    <w:rsid w:val="00803120"/>
    <w:rsid w:val="008031C0"/>
    <w:rsid w:val="008031C4"/>
    <w:rsid w:val="008036AA"/>
    <w:rsid w:val="00803C27"/>
    <w:rsid w:val="00803FBA"/>
    <w:rsid w:val="0080428F"/>
    <w:rsid w:val="0080436A"/>
    <w:rsid w:val="008043CD"/>
    <w:rsid w:val="00804A55"/>
    <w:rsid w:val="00804BDF"/>
    <w:rsid w:val="00804FAA"/>
    <w:rsid w:val="00805105"/>
    <w:rsid w:val="00805654"/>
    <w:rsid w:val="008056DB"/>
    <w:rsid w:val="008056F1"/>
    <w:rsid w:val="008057CF"/>
    <w:rsid w:val="00805E4D"/>
    <w:rsid w:val="008061BA"/>
    <w:rsid w:val="00806497"/>
    <w:rsid w:val="0080688D"/>
    <w:rsid w:val="008068F9"/>
    <w:rsid w:val="00806AB4"/>
    <w:rsid w:val="00806AD4"/>
    <w:rsid w:val="00806AE3"/>
    <w:rsid w:val="008071EE"/>
    <w:rsid w:val="008072C4"/>
    <w:rsid w:val="00807423"/>
    <w:rsid w:val="00807517"/>
    <w:rsid w:val="00807730"/>
    <w:rsid w:val="00807AAA"/>
    <w:rsid w:val="00807BB9"/>
    <w:rsid w:val="00807C33"/>
    <w:rsid w:val="00807E27"/>
    <w:rsid w:val="00807FAD"/>
    <w:rsid w:val="008104BB"/>
    <w:rsid w:val="00810951"/>
    <w:rsid w:val="00810C18"/>
    <w:rsid w:val="008113F2"/>
    <w:rsid w:val="008114BD"/>
    <w:rsid w:val="008115C7"/>
    <w:rsid w:val="008116C4"/>
    <w:rsid w:val="00811893"/>
    <w:rsid w:val="00811A10"/>
    <w:rsid w:val="00811AE1"/>
    <w:rsid w:val="00811BCA"/>
    <w:rsid w:val="00811E61"/>
    <w:rsid w:val="00812608"/>
    <w:rsid w:val="00812690"/>
    <w:rsid w:val="008126D3"/>
    <w:rsid w:val="00812BF5"/>
    <w:rsid w:val="00812F6D"/>
    <w:rsid w:val="0081304B"/>
    <w:rsid w:val="00813462"/>
    <w:rsid w:val="0081376D"/>
    <w:rsid w:val="0081381A"/>
    <w:rsid w:val="00813DF2"/>
    <w:rsid w:val="00814029"/>
    <w:rsid w:val="008140AB"/>
    <w:rsid w:val="008148C7"/>
    <w:rsid w:val="00814BA2"/>
    <w:rsid w:val="00815244"/>
    <w:rsid w:val="008153D4"/>
    <w:rsid w:val="00815A00"/>
    <w:rsid w:val="00815A4B"/>
    <w:rsid w:val="00815ACD"/>
    <w:rsid w:val="008163B2"/>
    <w:rsid w:val="008165CD"/>
    <w:rsid w:val="008165CF"/>
    <w:rsid w:val="008168E6"/>
    <w:rsid w:val="00817019"/>
    <w:rsid w:val="0081763E"/>
    <w:rsid w:val="00820C66"/>
    <w:rsid w:val="00820D2C"/>
    <w:rsid w:val="00820D57"/>
    <w:rsid w:val="00820F47"/>
    <w:rsid w:val="008211F4"/>
    <w:rsid w:val="008211F9"/>
    <w:rsid w:val="008214BD"/>
    <w:rsid w:val="0082150F"/>
    <w:rsid w:val="008216C6"/>
    <w:rsid w:val="0082191D"/>
    <w:rsid w:val="00821B21"/>
    <w:rsid w:val="00821B42"/>
    <w:rsid w:val="00821C65"/>
    <w:rsid w:val="00821D4F"/>
    <w:rsid w:val="00822018"/>
    <w:rsid w:val="0082264D"/>
    <w:rsid w:val="00822986"/>
    <w:rsid w:val="00822C4C"/>
    <w:rsid w:val="00822D19"/>
    <w:rsid w:val="00823006"/>
    <w:rsid w:val="0082327B"/>
    <w:rsid w:val="0082372C"/>
    <w:rsid w:val="0082395A"/>
    <w:rsid w:val="0082412E"/>
    <w:rsid w:val="008242A2"/>
    <w:rsid w:val="008246E7"/>
    <w:rsid w:val="00824AA7"/>
    <w:rsid w:val="00824CFE"/>
    <w:rsid w:val="00824DCD"/>
    <w:rsid w:val="00824DFE"/>
    <w:rsid w:val="008253AB"/>
    <w:rsid w:val="008257BA"/>
    <w:rsid w:val="00825974"/>
    <w:rsid w:val="00825F41"/>
    <w:rsid w:val="00825FD4"/>
    <w:rsid w:val="008262F2"/>
    <w:rsid w:val="00826487"/>
    <w:rsid w:val="00826D9D"/>
    <w:rsid w:val="00826D9E"/>
    <w:rsid w:val="0082754D"/>
    <w:rsid w:val="00827661"/>
    <w:rsid w:val="00827A91"/>
    <w:rsid w:val="00827AF3"/>
    <w:rsid w:val="00827F27"/>
    <w:rsid w:val="00830272"/>
    <w:rsid w:val="00830743"/>
    <w:rsid w:val="00830DD0"/>
    <w:rsid w:val="00830ECF"/>
    <w:rsid w:val="008313A6"/>
    <w:rsid w:val="00831437"/>
    <w:rsid w:val="00831F2A"/>
    <w:rsid w:val="00832074"/>
    <w:rsid w:val="00832386"/>
    <w:rsid w:val="0083270C"/>
    <w:rsid w:val="00832E77"/>
    <w:rsid w:val="0083335A"/>
    <w:rsid w:val="008333EC"/>
    <w:rsid w:val="008333F3"/>
    <w:rsid w:val="00833483"/>
    <w:rsid w:val="0083361E"/>
    <w:rsid w:val="008339B3"/>
    <w:rsid w:val="00833C30"/>
    <w:rsid w:val="00833DBE"/>
    <w:rsid w:val="00833F21"/>
    <w:rsid w:val="008349B3"/>
    <w:rsid w:val="00834B25"/>
    <w:rsid w:val="00834B89"/>
    <w:rsid w:val="008350A3"/>
    <w:rsid w:val="00835182"/>
    <w:rsid w:val="00835191"/>
    <w:rsid w:val="00835207"/>
    <w:rsid w:val="00835DC7"/>
    <w:rsid w:val="00836494"/>
    <w:rsid w:val="008365D4"/>
    <w:rsid w:val="00836847"/>
    <w:rsid w:val="00836921"/>
    <w:rsid w:val="0083696F"/>
    <w:rsid w:val="0083698A"/>
    <w:rsid w:val="00836C7B"/>
    <w:rsid w:val="00836E51"/>
    <w:rsid w:val="00837014"/>
    <w:rsid w:val="0083726B"/>
    <w:rsid w:val="00837278"/>
    <w:rsid w:val="008373C0"/>
    <w:rsid w:val="0083792D"/>
    <w:rsid w:val="00837976"/>
    <w:rsid w:val="00837E26"/>
    <w:rsid w:val="00837F01"/>
    <w:rsid w:val="00837F6F"/>
    <w:rsid w:val="008407DB"/>
    <w:rsid w:val="008409C7"/>
    <w:rsid w:val="00840C35"/>
    <w:rsid w:val="00840E3D"/>
    <w:rsid w:val="00840EA2"/>
    <w:rsid w:val="008411B0"/>
    <w:rsid w:val="00841D17"/>
    <w:rsid w:val="00841EC3"/>
    <w:rsid w:val="0084216E"/>
    <w:rsid w:val="0084220E"/>
    <w:rsid w:val="008422A3"/>
    <w:rsid w:val="008424A1"/>
    <w:rsid w:val="008424C1"/>
    <w:rsid w:val="008425CC"/>
    <w:rsid w:val="00842956"/>
    <w:rsid w:val="00842C75"/>
    <w:rsid w:val="00842CC0"/>
    <w:rsid w:val="00843705"/>
    <w:rsid w:val="00843B55"/>
    <w:rsid w:val="00843D1B"/>
    <w:rsid w:val="00843F13"/>
    <w:rsid w:val="008441C5"/>
    <w:rsid w:val="0084439B"/>
    <w:rsid w:val="00844732"/>
    <w:rsid w:val="008449B5"/>
    <w:rsid w:val="00844E48"/>
    <w:rsid w:val="00844EC9"/>
    <w:rsid w:val="00845253"/>
    <w:rsid w:val="0084535B"/>
    <w:rsid w:val="00845577"/>
    <w:rsid w:val="008455CD"/>
    <w:rsid w:val="00845881"/>
    <w:rsid w:val="0084597B"/>
    <w:rsid w:val="008459FB"/>
    <w:rsid w:val="00845B6E"/>
    <w:rsid w:val="00845C32"/>
    <w:rsid w:val="00845C60"/>
    <w:rsid w:val="00845F63"/>
    <w:rsid w:val="008461D6"/>
    <w:rsid w:val="008462B1"/>
    <w:rsid w:val="008462CB"/>
    <w:rsid w:val="0084634C"/>
    <w:rsid w:val="0084678C"/>
    <w:rsid w:val="0084688F"/>
    <w:rsid w:val="00846C70"/>
    <w:rsid w:val="00846E83"/>
    <w:rsid w:val="00846ED1"/>
    <w:rsid w:val="00846EEA"/>
    <w:rsid w:val="0084717C"/>
    <w:rsid w:val="0084722C"/>
    <w:rsid w:val="00847356"/>
    <w:rsid w:val="00847591"/>
    <w:rsid w:val="00847789"/>
    <w:rsid w:val="00847849"/>
    <w:rsid w:val="00847871"/>
    <w:rsid w:val="00847B7A"/>
    <w:rsid w:val="00847F98"/>
    <w:rsid w:val="008500FE"/>
    <w:rsid w:val="008501C5"/>
    <w:rsid w:val="008503CB"/>
    <w:rsid w:val="00850947"/>
    <w:rsid w:val="00850B5D"/>
    <w:rsid w:val="00850EFB"/>
    <w:rsid w:val="00850FB3"/>
    <w:rsid w:val="00851307"/>
    <w:rsid w:val="00851619"/>
    <w:rsid w:val="00851716"/>
    <w:rsid w:val="00851ABF"/>
    <w:rsid w:val="00852083"/>
    <w:rsid w:val="0085253F"/>
    <w:rsid w:val="008526E8"/>
    <w:rsid w:val="00852B20"/>
    <w:rsid w:val="00852C00"/>
    <w:rsid w:val="00853445"/>
    <w:rsid w:val="00853770"/>
    <w:rsid w:val="008538B5"/>
    <w:rsid w:val="00853985"/>
    <w:rsid w:val="00853A9E"/>
    <w:rsid w:val="00854180"/>
    <w:rsid w:val="0085433D"/>
    <w:rsid w:val="008545FC"/>
    <w:rsid w:val="008546D2"/>
    <w:rsid w:val="0085476D"/>
    <w:rsid w:val="0085494E"/>
    <w:rsid w:val="00854CE3"/>
    <w:rsid w:val="00854CF6"/>
    <w:rsid w:val="0085535A"/>
    <w:rsid w:val="00855890"/>
    <w:rsid w:val="00856494"/>
    <w:rsid w:val="008564B7"/>
    <w:rsid w:val="00856793"/>
    <w:rsid w:val="008567B6"/>
    <w:rsid w:val="00856879"/>
    <w:rsid w:val="00856B0C"/>
    <w:rsid w:val="00856DD0"/>
    <w:rsid w:val="00856F49"/>
    <w:rsid w:val="0085717C"/>
    <w:rsid w:val="00857343"/>
    <w:rsid w:val="0085743F"/>
    <w:rsid w:val="00857471"/>
    <w:rsid w:val="00857797"/>
    <w:rsid w:val="00857867"/>
    <w:rsid w:val="00857F52"/>
    <w:rsid w:val="00860222"/>
    <w:rsid w:val="0086079C"/>
    <w:rsid w:val="008608A7"/>
    <w:rsid w:val="008608CD"/>
    <w:rsid w:val="00860A9A"/>
    <w:rsid w:val="00861319"/>
    <w:rsid w:val="00861631"/>
    <w:rsid w:val="00861994"/>
    <w:rsid w:val="00862159"/>
    <w:rsid w:val="00862201"/>
    <w:rsid w:val="00862286"/>
    <w:rsid w:val="0086255B"/>
    <w:rsid w:val="00862FD7"/>
    <w:rsid w:val="00863102"/>
    <w:rsid w:val="00863392"/>
    <w:rsid w:val="008634EA"/>
    <w:rsid w:val="008635F3"/>
    <w:rsid w:val="00863634"/>
    <w:rsid w:val="008637B1"/>
    <w:rsid w:val="0086399D"/>
    <w:rsid w:val="00863AF2"/>
    <w:rsid w:val="008643BD"/>
    <w:rsid w:val="008644BD"/>
    <w:rsid w:val="00864E49"/>
    <w:rsid w:val="00864E6B"/>
    <w:rsid w:val="00865403"/>
    <w:rsid w:val="008654AE"/>
    <w:rsid w:val="008654BF"/>
    <w:rsid w:val="00865714"/>
    <w:rsid w:val="008658A3"/>
    <w:rsid w:val="0086594E"/>
    <w:rsid w:val="00865A89"/>
    <w:rsid w:val="00865D16"/>
    <w:rsid w:val="00865D41"/>
    <w:rsid w:val="008661B2"/>
    <w:rsid w:val="00866661"/>
    <w:rsid w:val="008668D8"/>
    <w:rsid w:val="0086695A"/>
    <w:rsid w:val="00866A26"/>
    <w:rsid w:val="00866F34"/>
    <w:rsid w:val="00867425"/>
    <w:rsid w:val="00867750"/>
    <w:rsid w:val="008677D2"/>
    <w:rsid w:val="008678C7"/>
    <w:rsid w:val="00867A59"/>
    <w:rsid w:val="00867FA8"/>
    <w:rsid w:val="00870083"/>
    <w:rsid w:val="008700DB"/>
    <w:rsid w:val="0087014D"/>
    <w:rsid w:val="008706E1"/>
    <w:rsid w:val="00870782"/>
    <w:rsid w:val="00870B70"/>
    <w:rsid w:val="00870D97"/>
    <w:rsid w:val="00870E43"/>
    <w:rsid w:val="00871081"/>
    <w:rsid w:val="0087116C"/>
    <w:rsid w:val="00871345"/>
    <w:rsid w:val="00871410"/>
    <w:rsid w:val="0087163C"/>
    <w:rsid w:val="00871A17"/>
    <w:rsid w:val="00871A50"/>
    <w:rsid w:val="00872238"/>
    <w:rsid w:val="008726B7"/>
    <w:rsid w:val="008726F0"/>
    <w:rsid w:val="00872917"/>
    <w:rsid w:val="00872FA0"/>
    <w:rsid w:val="00873220"/>
    <w:rsid w:val="00873617"/>
    <w:rsid w:val="00873866"/>
    <w:rsid w:val="00873AB6"/>
    <w:rsid w:val="00873AE1"/>
    <w:rsid w:val="00873C3B"/>
    <w:rsid w:val="00874734"/>
    <w:rsid w:val="00874740"/>
    <w:rsid w:val="0087485C"/>
    <w:rsid w:val="00874B5C"/>
    <w:rsid w:val="00874CCD"/>
    <w:rsid w:val="00874ED0"/>
    <w:rsid w:val="00874F82"/>
    <w:rsid w:val="00875157"/>
    <w:rsid w:val="008751AA"/>
    <w:rsid w:val="00875320"/>
    <w:rsid w:val="00875606"/>
    <w:rsid w:val="0087563E"/>
    <w:rsid w:val="008756B8"/>
    <w:rsid w:val="00875BA9"/>
    <w:rsid w:val="00875DEE"/>
    <w:rsid w:val="0087632E"/>
    <w:rsid w:val="00876487"/>
    <w:rsid w:val="008766AE"/>
    <w:rsid w:val="00876908"/>
    <w:rsid w:val="008769BE"/>
    <w:rsid w:val="008769FF"/>
    <w:rsid w:val="00876B3B"/>
    <w:rsid w:val="00876B54"/>
    <w:rsid w:val="00876CA4"/>
    <w:rsid w:val="00876F45"/>
    <w:rsid w:val="0087736E"/>
    <w:rsid w:val="0087756A"/>
    <w:rsid w:val="008776A4"/>
    <w:rsid w:val="008778C7"/>
    <w:rsid w:val="00877A02"/>
    <w:rsid w:val="00877AEC"/>
    <w:rsid w:val="00877BA9"/>
    <w:rsid w:val="00877BC6"/>
    <w:rsid w:val="00877DCE"/>
    <w:rsid w:val="00877F83"/>
    <w:rsid w:val="00880217"/>
    <w:rsid w:val="00880511"/>
    <w:rsid w:val="008807EB"/>
    <w:rsid w:val="00880A51"/>
    <w:rsid w:val="00880F54"/>
    <w:rsid w:val="008811E4"/>
    <w:rsid w:val="00881777"/>
    <w:rsid w:val="0088196E"/>
    <w:rsid w:val="0088234A"/>
    <w:rsid w:val="00882440"/>
    <w:rsid w:val="00882B7C"/>
    <w:rsid w:val="00882C9C"/>
    <w:rsid w:val="00883064"/>
    <w:rsid w:val="0088306F"/>
    <w:rsid w:val="00883AB5"/>
    <w:rsid w:val="00883ABD"/>
    <w:rsid w:val="00883BBD"/>
    <w:rsid w:val="00884379"/>
    <w:rsid w:val="00884380"/>
    <w:rsid w:val="0088447C"/>
    <w:rsid w:val="00884970"/>
    <w:rsid w:val="00884A52"/>
    <w:rsid w:val="00884CD7"/>
    <w:rsid w:val="0088520B"/>
    <w:rsid w:val="0088554C"/>
    <w:rsid w:val="00885997"/>
    <w:rsid w:val="0088607B"/>
    <w:rsid w:val="00886494"/>
    <w:rsid w:val="00886BC1"/>
    <w:rsid w:val="0088785E"/>
    <w:rsid w:val="00887885"/>
    <w:rsid w:val="008900BA"/>
    <w:rsid w:val="00890154"/>
    <w:rsid w:val="008904AE"/>
    <w:rsid w:val="00890589"/>
    <w:rsid w:val="008905CA"/>
    <w:rsid w:val="00890AC9"/>
    <w:rsid w:val="00890CA6"/>
    <w:rsid w:val="00891054"/>
    <w:rsid w:val="008910FE"/>
    <w:rsid w:val="00891275"/>
    <w:rsid w:val="00891489"/>
    <w:rsid w:val="00891586"/>
    <w:rsid w:val="00891CBE"/>
    <w:rsid w:val="00891EB7"/>
    <w:rsid w:val="008921A1"/>
    <w:rsid w:val="00892977"/>
    <w:rsid w:val="00892C0F"/>
    <w:rsid w:val="00892C23"/>
    <w:rsid w:val="00892C77"/>
    <w:rsid w:val="00892D17"/>
    <w:rsid w:val="00892E80"/>
    <w:rsid w:val="00893326"/>
    <w:rsid w:val="0089360A"/>
    <w:rsid w:val="00893A16"/>
    <w:rsid w:val="00893ACF"/>
    <w:rsid w:val="00893B5E"/>
    <w:rsid w:val="00893F19"/>
    <w:rsid w:val="00893FCC"/>
    <w:rsid w:val="008940F4"/>
    <w:rsid w:val="00894253"/>
    <w:rsid w:val="008943E6"/>
    <w:rsid w:val="008946B7"/>
    <w:rsid w:val="008946C6"/>
    <w:rsid w:val="008947C8"/>
    <w:rsid w:val="00894B43"/>
    <w:rsid w:val="00894F61"/>
    <w:rsid w:val="00894F67"/>
    <w:rsid w:val="008952B3"/>
    <w:rsid w:val="00895821"/>
    <w:rsid w:val="00895863"/>
    <w:rsid w:val="00895A51"/>
    <w:rsid w:val="00895ABB"/>
    <w:rsid w:val="00895CAD"/>
    <w:rsid w:val="00895E48"/>
    <w:rsid w:val="008967AE"/>
    <w:rsid w:val="00896AE7"/>
    <w:rsid w:val="00896E54"/>
    <w:rsid w:val="00897095"/>
    <w:rsid w:val="008971FB"/>
    <w:rsid w:val="00897426"/>
    <w:rsid w:val="008975D0"/>
    <w:rsid w:val="00897703"/>
    <w:rsid w:val="00897BE1"/>
    <w:rsid w:val="008A0090"/>
    <w:rsid w:val="008A0249"/>
    <w:rsid w:val="008A030E"/>
    <w:rsid w:val="008A072A"/>
    <w:rsid w:val="008A0934"/>
    <w:rsid w:val="008A0A2E"/>
    <w:rsid w:val="008A0BF2"/>
    <w:rsid w:val="008A0CC5"/>
    <w:rsid w:val="008A0F3E"/>
    <w:rsid w:val="008A1903"/>
    <w:rsid w:val="008A1A38"/>
    <w:rsid w:val="008A1AF7"/>
    <w:rsid w:val="008A1D73"/>
    <w:rsid w:val="008A1E59"/>
    <w:rsid w:val="008A206C"/>
    <w:rsid w:val="008A2081"/>
    <w:rsid w:val="008A2936"/>
    <w:rsid w:val="008A2B38"/>
    <w:rsid w:val="008A2DD6"/>
    <w:rsid w:val="008A311D"/>
    <w:rsid w:val="008A31F0"/>
    <w:rsid w:val="008A337A"/>
    <w:rsid w:val="008A384F"/>
    <w:rsid w:val="008A3901"/>
    <w:rsid w:val="008A3F71"/>
    <w:rsid w:val="008A42D5"/>
    <w:rsid w:val="008A43FE"/>
    <w:rsid w:val="008A5105"/>
    <w:rsid w:val="008A5119"/>
    <w:rsid w:val="008A5748"/>
    <w:rsid w:val="008A5780"/>
    <w:rsid w:val="008A59C8"/>
    <w:rsid w:val="008A5E64"/>
    <w:rsid w:val="008A626E"/>
    <w:rsid w:val="008A6469"/>
    <w:rsid w:val="008A6793"/>
    <w:rsid w:val="008A67DF"/>
    <w:rsid w:val="008A6C50"/>
    <w:rsid w:val="008A6EF8"/>
    <w:rsid w:val="008A6F42"/>
    <w:rsid w:val="008A7368"/>
    <w:rsid w:val="008A75D5"/>
    <w:rsid w:val="008B0124"/>
    <w:rsid w:val="008B01DA"/>
    <w:rsid w:val="008B025A"/>
    <w:rsid w:val="008B031F"/>
    <w:rsid w:val="008B04C5"/>
    <w:rsid w:val="008B05BF"/>
    <w:rsid w:val="008B0CAD"/>
    <w:rsid w:val="008B1003"/>
    <w:rsid w:val="008B1076"/>
    <w:rsid w:val="008B11C6"/>
    <w:rsid w:val="008B13C5"/>
    <w:rsid w:val="008B1AB5"/>
    <w:rsid w:val="008B1CBF"/>
    <w:rsid w:val="008B1DCA"/>
    <w:rsid w:val="008B1F1F"/>
    <w:rsid w:val="008B1F2E"/>
    <w:rsid w:val="008B232F"/>
    <w:rsid w:val="008B28DE"/>
    <w:rsid w:val="008B2AF3"/>
    <w:rsid w:val="008B2DDC"/>
    <w:rsid w:val="008B2EC6"/>
    <w:rsid w:val="008B3600"/>
    <w:rsid w:val="008B3B60"/>
    <w:rsid w:val="008B3E0A"/>
    <w:rsid w:val="008B4881"/>
    <w:rsid w:val="008B4B01"/>
    <w:rsid w:val="008B4E25"/>
    <w:rsid w:val="008B4EC7"/>
    <w:rsid w:val="008B51C5"/>
    <w:rsid w:val="008B56A3"/>
    <w:rsid w:val="008B5831"/>
    <w:rsid w:val="008B58C0"/>
    <w:rsid w:val="008B5B83"/>
    <w:rsid w:val="008B5B8B"/>
    <w:rsid w:val="008B5BDA"/>
    <w:rsid w:val="008B5C26"/>
    <w:rsid w:val="008B5CC4"/>
    <w:rsid w:val="008B6139"/>
    <w:rsid w:val="008B63C2"/>
    <w:rsid w:val="008B659E"/>
    <w:rsid w:val="008B6675"/>
    <w:rsid w:val="008B69A0"/>
    <w:rsid w:val="008B69FB"/>
    <w:rsid w:val="008B6BE8"/>
    <w:rsid w:val="008B7044"/>
    <w:rsid w:val="008B7655"/>
    <w:rsid w:val="008C0036"/>
    <w:rsid w:val="008C0412"/>
    <w:rsid w:val="008C0651"/>
    <w:rsid w:val="008C08E9"/>
    <w:rsid w:val="008C094C"/>
    <w:rsid w:val="008C0B68"/>
    <w:rsid w:val="008C0F03"/>
    <w:rsid w:val="008C10D7"/>
    <w:rsid w:val="008C139A"/>
    <w:rsid w:val="008C14F0"/>
    <w:rsid w:val="008C1890"/>
    <w:rsid w:val="008C234E"/>
    <w:rsid w:val="008C2362"/>
    <w:rsid w:val="008C24B4"/>
    <w:rsid w:val="008C28DA"/>
    <w:rsid w:val="008C2A11"/>
    <w:rsid w:val="008C2C41"/>
    <w:rsid w:val="008C2E97"/>
    <w:rsid w:val="008C30B3"/>
    <w:rsid w:val="008C317A"/>
    <w:rsid w:val="008C3407"/>
    <w:rsid w:val="008C340E"/>
    <w:rsid w:val="008C3697"/>
    <w:rsid w:val="008C3917"/>
    <w:rsid w:val="008C394D"/>
    <w:rsid w:val="008C3A99"/>
    <w:rsid w:val="008C3B31"/>
    <w:rsid w:val="008C3C15"/>
    <w:rsid w:val="008C4025"/>
    <w:rsid w:val="008C40A5"/>
    <w:rsid w:val="008C4220"/>
    <w:rsid w:val="008C45DF"/>
    <w:rsid w:val="008C4631"/>
    <w:rsid w:val="008C4B33"/>
    <w:rsid w:val="008C4F2A"/>
    <w:rsid w:val="008C4F58"/>
    <w:rsid w:val="008C51B0"/>
    <w:rsid w:val="008C52DB"/>
    <w:rsid w:val="008C53C8"/>
    <w:rsid w:val="008C541A"/>
    <w:rsid w:val="008C5971"/>
    <w:rsid w:val="008C59A6"/>
    <w:rsid w:val="008C5BC6"/>
    <w:rsid w:val="008C5F45"/>
    <w:rsid w:val="008C62A1"/>
    <w:rsid w:val="008C6476"/>
    <w:rsid w:val="008C64AD"/>
    <w:rsid w:val="008C6AAF"/>
    <w:rsid w:val="008C77AB"/>
    <w:rsid w:val="008C786A"/>
    <w:rsid w:val="008C7B5F"/>
    <w:rsid w:val="008D00F7"/>
    <w:rsid w:val="008D03A1"/>
    <w:rsid w:val="008D058A"/>
    <w:rsid w:val="008D0D06"/>
    <w:rsid w:val="008D0D10"/>
    <w:rsid w:val="008D0D71"/>
    <w:rsid w:val="008D0F23"/>
    <w:rsid w:val="008D1068"/>
    <w:rsid w:val="008D12EC"/>
    <w:rsid w:val="008D139B"/>
    <w:rsid w:val="008D1896"/>
    <w:rsid w:val="008D1AE5"/>
    <w:rsid w:val="008D1CAD"/>
    <w:rsid w:val="008D1EF9"/>
    <w:rsid w:val="008D1FCB"/>
    <w:rsid w:val="008D1FD6"/>
    <w:rsid w:val="008D20C7"/>
    <w:rsid w:val="008D2D37"/>
    <w:rsid w:val="008D30DC"/>
    <w:rsid w:val="008D3208"/>
    <w:rsid w:val="008D326F"/>
    <w:rsid w:val="008D3644"/>
    <w:rsid w:val="008D3AF7"/>
    <w:rsid w:val="008D3C09"/>
    <w:rsid w:val="008D3EB7"/>
    <w:rsid w:val="008D3EF1"/>
    <w:rsid w:val="008D41B3"/>
    <w:rsid w:val="008D42B3"/>
    <w:rsid w:val="008D44BD"/>
    <w:rsid w:val="008D44CD"/>
    <w:rsid w:val="008D46A5"/>
    <w:rsid w:val="008D4838"/>
    <w:rsid w:val="008D494C"/>
    <w:rsid w:val="008D4E4A"/>
    <w:rsid w:val="008D4F3F"/>
    <w:rsid w:val="008D5011"/>
    <w:rsid w:val="008D51DC"/>
    <w:rsid w:val="008D5439"/>
    <w:rsid w:val="008D578B"/>
    <w:rsid w:val="008D5B90"/>
    <w:rsid w:val="008D63BC"/>
    <w:rsid w:val="008D653E"/>
    <w:rsid w:val="008D67D7"/>
    <w:rsid w:val="008D6BC9"/>
    <w:rsid w:val="008D6C1E"/>
    <w:rsid w:val="008D6E72"/>
    <w:rsid w:val="008D70D7"/>
    <w:rsid w:val="008D77B4"/>
    <w:rsid w:val="008D7F94"/>
    <w:rsid w:val="008E020D"/>
    <w:rsid w:val="008E03A5"/>
    <w:rsid w:val="008E04D2"/>
    <w:rsid w:val="008E094C"/>
    <w:rsid w:val="008E09D4"/>
    <w:rsid w:val="008E0A73"/>
    <w:rsid w:val="008E0CBB"/>
    <w:rsid w:val="008E14E4"/>
    <w:rsid w:val="008E163D"/>
    <w:rsid w:val="008E1942"/>
    <w:rsid w:val="008E1A3B"/>
    <w:rsid w:val="008E2130"/>
    <w:rsid w:val="008E238E"/>
    <w:rsid w:val="008E2543"/>
    <w:rsid w:val="008E25C8"/>
    <w:rsid w:val="008E2702"/>
    <w:rsid w:val="008E2768"/>
    <w:rsid w:val="008E278E"/>
    <w:rsid w:val="008E28E7"/>
    <w:rsid w:val="008E2EDF"/>
    <w:rsid w:val="008E3045"/>
    <w:rsid w:val="008E342A"/>
    <w:rsid w:val="008E34E1"/>
    <w:rsid w:val="008E3D69"/>
    <w:rsid w:val="008E40CA"/>
    <w:rsid w:val="008E421E"/>
    <w:rsid w:val="008E43D6"/>
    <w:rsid w:val="008E473B"/>
    <w:rsid w:val="008E47D3"/>
    <w:rsid w:val="008E487B"/>
    <w:rsid w:val="008E4DF8"/>
    <w:rsid w:val="008E4EC6"/>
    <w:rsid w:val="008E527C"/>
    <w:rsid w:val="008E5309"/>
    <w:rsid w:val="008E5636"/>
    <w:rsid w:val="008E5A8D"/>
    <w:rsid w:val="008E5BA1"/>
    <w:rsid w:val="008E5ECB"/>
    <w:rsid w:val="008E5FA4"/>
    <w:rsid w:val="008E6186"/>
    <w:rsid w:val="008E61E4"/>
    <w:rsid w:val="008E6261"/>
    <w:rsid w:val="008E66BC"/>
    <w:rsid w:val="008E6735"/>
    <w:rsid w:val="008E6812"/>
    <w:rsid w:val="008E6C99"/>
    <w:rsid w:val="008E6DCE"/>
    <w:rsid w:val="008E6F36"/>
    <w:rsid w:val="008E70F5"/>
    <w:rsid w:val="008E71AD"/>
    <w:rsid w:val="008E72D8"/>
    <w:rsid w:val="008E7591"/>
    <w:rsid w:val="008E7697"/>
    <w:rsid w:val="008E7A0C"/>
    <w:rsid w:val="008F00A7"/>
    <w:rsid w:val="008F02FF"/>
    <w:rsid w:val="008F046D"/>
    <w:rsid w:val="008F0713"/>
    <w:rsid w:val="008F087A"/>
    <w:rsid w:val="008F0901"/>
    <w:rsid w:val="008F0DE5"/>
    <w:rsid w:val="008F0E49"/>
    <w:rsid w:val="008F1086"/>
    <w:rsid w:val="008F1D18"/>
    <w:rsid w:val="008F1D90"/>
    <w:rsid w:val="008F1F7E"/>
    <w:rsid w:val="008F244B"/>
    <w:rsid w:val="008F2A97"/>
    <w:rsid w:val="008F2E20"/>
    <w:rsid w:val="008F2FBF"/>
    <w:rsid w:val="008F2FFA"/>
    <w:rsid w:val="008F3B96"/>
    <w:rsid w:val="008F3BA9"/>
    <w:rsid w:val="008F3BDE"/>
    <w:rsid w:val="008F4034"/>
    <w:rsid w:val="008F4078"/>
    <w:rsid w:val="008F4503"/>
    <w:rsid w:val="008F4651"/>
    <w:rsid w:val="008F4933"/>
    <w:rsid w:val="008F4B3F"/>
    <w:rsid w:val="008F4FD0"/>
    <w:rsid w:val="008F52EA"/>
    <w:rsid w:val="008F5555"/>
    <w:rsid w:val="008F556F"/>
    <w:rsid w:val="008F566C"/>
    <w:rsid w:val="008F5685"/>
    <w:rsid w:val="008F570F"/>
    <w:rsid w:val="008F572D"/>
    <w:rsid w:val="008F5735"/>
    <w:rsid w:val="008F59FB"/>
    <w:rsid w:val="008F5FEC"/>
    <w:rsid w:val="008F6367"/>
    <w:rsid w:val="008F6860"/>
    <w:rsid w:val="008F68B9"/>
    <w:rsid w:val="008F68E8"/>
    <w:rsid w:val="008F6981"/>
    <w:rsid w:val="008F713E"/>
    <w:rsid w:val="008F715C"/>
    <w:rsid w:val="008F7405"/>
    <w:rsid w:val="008F7640"/>
    <w:rsid w:val="008F7C3B"/>
    <w:rsid w:val="008F7D2A"/>
    <w:rsid w:val="008F7D63"/>
    <w:rsid w:val="009000D5"/>
    <w:rsid w:val="009000EA"/>
    <w:rsid w:val="0090052F"/>
    <w:rsid w:val="00900638"/>
    <w:rsid w:val="0090076F"/>
    <w:rsid w:val="00900E95"/>
    <w:rsid w:val="00900F5F"/>
    <w:rsid w:val="0090124D"/>
    <w:rsid w:val="0090173E"/>
    <w:rsid w:val="00901CD3"/>
    <w:rsid w:val="0090208F"/>
    <w:rsid w:val="00902177"/>
    <w:rsid w:val="009023AB"/>
    <w:rsid w:val="0090259F"/>
    <w:rsid w:val="00902608"/>
    <w:rsid w:val="009028FF"/>
    <w:rsid w:val="00902D27"/>
    <w:rsid w:val="00902E59"/>
    <w:rsid w:val="0090301A"/>
    <w:rsid w:val="0090312A"/>
    <w:rsid w:val="00903602"/>
    <w:rsid w:val="00903698"/>
    <w:rsid w:val="0090389A"/>
    <w:rsid w:val="00903BA0"/>
    <w:rsid w:val="009045E6"/>
    <w:rsid w:val="00904821"/>
    <w:rsid w:val="00904CBE"/>
    <w:rsid w:val="00904D7A"/>
    <w:rsid w:val="00904F43"/>
    <w:rsid w:val="00905831"/>
    <w:rsid w:val="00905B57"/>
    <w:rsid w:val="00905C57"/>
    <w:rsid w:val="00905C5E"/>
    <w:rsid w:val="00905DA9"/>
    <w:rsid w:val="00905E99"/>
    <w:rsid w:val="00906033"/>
    <w:rsid w:val="0090631C"/>
    <w:rsid w:val="0090631D"/>
    <w:rsid w:val="00906398"/>
    <w:rsid w:val="00906E35"/>
    <w:rsid w:val="00906EFC"/>
    <w:rsid w:val="00906F21"/>
    <w:rsid w:val="0090739B"/>
    <w:rsid w:val="009074A3"/>
    <w:rsid w:val="009074F6"/>
    <w:rsid w:val="0090750B"/>
    <w:rsid w:val="00907992"/>
    <w:rsid w:val="009079A6"/>
    <w:rsid w:val="00907DB3"/>
    <w:rsid w:val="00907E9B"/>
    <w:rsid w:val="00910A16"/>
    <w:rsid w:val="00911168"/>
    <w:rsid w:val="009115D0"/>
    <w:rsid w:val="00911F62"/>
    <w:rsid w:val="00911FC0"/>
    <w:rsid w:val="00912031"/>
    <w:rsid w:val="00913263"/>
    <w:rsid w:val="0091369C"/>
    <w:rsid w:val="009136C4"/>
    <w:rsid w:val="00913728"/>
    <w:rsid w:val="0091374F"/>
    <w:rsid w:val="009139C7"/>
    <w:rsid w:val="00914061"/>
    <w:rsid w:val="0091421C"/>
    <w:rsid w:val="0091438B"/>
    <w:rsid w:val="0091443E"/>
    <w:rsid w:val="009144CF"/>
    <w:rsid w:val="009149AD"/>
    <w:rsid w:val="00914C24"/>
    <w:rsid w:val="00914FD0"/>
    <w:rsid w:val="0091533A"/>
    <w:rsid w:val="009157CA"/>
    <w:rsid w:val="0091599D"/>
    <w:rsid w:val="00915AC5"/>
    <w:rsid w:val="00915B27"/>
    <w:rsid w:val="00915B30"/>
    <w:rsid w:val="00916032"/>
    <w:rsid w:val="009162F9"/>
    <w:rsid w:val="009166F1"/>
    <w:rsid w:val="00916E0A"/>
    <w:rsid w:val="00917210"/>
    <w:rsid w:val="0091766E"/>
    <w:rsid w:val="00917700"/>
    <w:rsid w:val="00917825"/>
    <w:rsid w:val="00917B35"/>
    <w:rsid w:val="00917D30"/>
    <w:rsid w:val="009201FE"/>
    <w:rsid w:val="009205DE"/>
    <w:rsid w:val="009206A8"/>
    <w:rsid w:val="00920800"/>
    <w:rsid w:val="0092081E"/>
    <w:rsid w:val="0092098F"/>
    <w:rsid w:val="00921463"/>
    <w:rsid w:val="009216AD"/>
    <w:rsid w:val="00921744"/>
    <w:rsid w:val="009217C0"/>
    <w:rsid w:val="00921AD8"/>
    <w:rsid w:val="0092212C"/>
    <w:rsid w:val="009225D4"/>
    <w:rsid w:val="009226AF"/>
    <w:rsid w:val="00922D79"/>
    <w:rsid w:val="0092369E"/>
    <w:rsid w:val="009237F8"/>
    <w:rsid w:val="00923E06"/>
    <w:rsid w:val="009240E3"/>
    <w:rsid w:val="0092478E"/>
    <w:rsid w:val="0092486D"/>
    <w:rsid w:val="00924962"/>
    <w:rsid w:val="00924B8B"/>
    <w:rsid w:val="00924ED3"/>
    <w:rsid w:val="00925023"/>
    <w:rsid w:val="0092511A"/>
    <w:rsid w:val="0092586C"/>
    <w:rsid w:val="00925B71"/>
    <w:rsid w:val="00925D4A"/>
    <w:rsid w:val="00926030"/>
    <w:rsid w:val="00926175"/>
    <w:rsid w:val="009261E6"/>
    <w:rsid w:val="00926701"/>
    <w:rsid w:val="0092674E"/>
    <w:rsid w:val="00926AA0"/>
    <w:rsid w:val="00927494"/>
    <w:rsid w:val="0092752A"/>
    <w:rsid w:val="009275A1"/>
    <w:rsid w:val="009275DC"/>
    <w:rsid w:val="00927771"/>
    <w:rsid w:val="00927E9C"/>
    <w:rsid w:val="00927EA5"/>
    <w:rsid w:val="00930345"/>
    <w:rsid w:val="00930667"/>
    <w:rsid w:val="00930989"/>
    <w:rsid w:val="00930F78"/>
    <w:rsid w:val="0093119A"/>
    <w:rsid w:val="00931213"/>
    <w:rsid w:val="00931420"/>
    <w:rsid w:val="0093155E"/>
    <w:rsid w:val="0093188D"/>
    <w:rsid w:val="00931E46"/>
    <w:rsid w:val="00931E95"/>
    <w:rsid w:val="00931ED0"/>
    <w:rsid w:val="00932109"/>
    <w:rsid w:val="0093262E"/>
    <w:rsid w:val="00932742"/>
    <w:rsid w:val="00932788"/>
    <w:rsid w:val="00932B5E"/>
    <w:rsid w:val="00932C26"/>
    <w:rsid w:val="00932F6F"/>
    <w:rsid w:val="009330FD"/>
    <w:rsid w:val="00933236"/>
    <w:rsid w:val="00933405"/>
    <w:rsid w:val="00933645"/>
    <w:rsid w:val="009337D6"/>
    <w:rsid w:val="00933874"/>
    <w:rsid w:val="00933A99"/>
    <w:rsid w:val="00933CDC"/>
    <w:rsid w:val="00933D2A"/>
    <w:rsid w:val="0093413A"/>
    <w:rsid w:val="00934692"/>
    <w:rsid w:val="00934717"/>
    <w:rsid w:val="0093479E"/>
    <w:rsid w:val="00934864"/>
    <w:rsid w:val="0093487B"/>
    <w:rsid w:val="00934E4A"/>
    <w:rsid w:val="00935486"/>
    <w:rsid w:val="009354B1"/>
    <w:rsid w:val="009354CF"/>
    <w:rsid w:val="00935597"/>
    <w:rsid w:val="009355A3"/>
    <w:rsid w:val="009355AA"/>
    <w:rsid w:val="00935E77"/>
    <w:rsid w:val="00935F99"/>
    <w:rsid w:val="009360F4"/>
    <w:rsid w:val="0093621C"/>
    <w:rsid w:val="00936667"/>
    <w:rsid w:val="00936CF9"/>
    <w:rsid w:val="009370CB"/>
    <w:rsid w:val="0093727A"/>
    <w:rsid w:val="009373D4"/>
    <w:rsid w:val="00937471"/>
    <w:rsid w:val="00937A8F"/>
    <w:rsid w:val="00937B71"/>
    <w:rsid w:val="00937D24"/>
    <w:rsid w:val="00937F04"/>
    <w:rsid w:val="00940561"/>
    <w:rsid w:val="00940AB3"/>
    <w:rsid w:val="009410DD"/>
    <w:rsid w:val="0094169C"/>
    <w:rsid w:val="00941A05"/>
    <w:rsid w:val="00941C14"/>
    <w:rsid w:val="00941C94"/>
    <w:rsid w:val="00941D87"/>
    <w:rsid w:val="00942184"/>
    <w:rsid w:val="0094251D"/>
    <w:rsid w:val="00942618"/>
    <w:rsid w:val="0094292F"/>
    <w:rsid w:val="00942945"/>
    <w:rsid w:val="00942A6A"/>
    <w:rsid w:val="00942F28"/>
    <w:rsid w:val="0094341B"/>
    <w:rsid w:val="00943690"/>
    <w:rsid w:val="00943787"/>
    <w:rsid w:val="0094378E"/>
    <w:rsid w:val="00943857"/>
    <w:rsid w:val="00943894"/>
    <w:rsid w:val="0094392B"/>
    <w:rsid w:val="00943CB2"/>
    <w:rsid w:val="00943D0C"/>
    <w:rsid w:val="009443DA"/>
    <w:rsid w:val="00944430"/>
    <w:rsid w:val="00944964"/>
    <w:rsid w:val="00944A56"/>
    <w:rsid w:val="009452FA"/>
    <w:rsid w:val="009453B5"/>
    <w:rsid w:val="0094570A"/>
    <w:rsid w:val="00945FFD"/>
    <w:rsid w:val="00946152"/>
    <w:rsid w:val="0094617B"/>
    <w:rsid w:val="009462AC"/>
    <w:rsid w:val="0094666E"/>
    <w:rsid w:val="00946697"/>
    <w:rsid w:val="009469C9"/>
    <w:rsid w:val="009470FB"/>
    <w:rsid w:val="00947143"/>
    <w:rsid w:val="00947310"/>
    <w:rsid w:val="00947474"/>
    <w:rsid w:val="009475B3"/>
    <w:rsid w:val="0094783B"/>
    <w:rsid w:val="00947A07"/>
    <w:rsid w:val="00947BEB"/>
    <w:rsid w:val="00947F05"/>
    <w:rsid w:val="00950214"/>
    <w:rsid w:val="00950216"/>
    <w:rsid w:val="009502AC"/>
    <w:rsid w:val="0095054E"/>
    <w:rsid w:val="0095075C"/>
    <w:rsid w:val="00950E8B"/>
    <w:rsid w:val="00951A26"/>
    <w:rsid w:val="00951C3E"/>
    <w:rsid w:val="00951CA3"/>
    <w:rsid w:val="00951D6E"/>
    <w:rsid w:val="00951F3C"/>
    <w:rsid w:val="009525EF"/>
    <w:rsid w:val="009529F6"/>
    <w:rsid w:val="00952D3A"/>
    <w:rsid w:val="0095328B"/>
    <w:rsid w:val="009533A4"/>
    <w:rsid w:val="009533C0"/>
    <w:rsid w:val="00953415"/>
    <w:rsid w:val="00953E53"/>
    <w:rsid w:val="00953EDB"/>
    <w:rsid w:val="00953EF7"/>
    <w:rsid w:val="00953FB1"/>
    <w:rsid w:val="00954345"/>
    <w:rsid w:val="009543B5"/>
    <w:rsid w:val="0095447F"/>
    <w:rsid w:val="00954573"/>
    <w:rsid w:val="00954A00"/>
    <w:rsid w:val="00954C0B"/>
    <w:rsid w:val="0095542E"/>
    <w:rsid w:val="009554BD"/>
    <w:rsid w:val="00955521"/>
    <w:rsid w:val="0095570B"/>
    <w:rsid w:val="009557A1"/>
    <w:rsid w:val="00955836"/>
    <w:rsid w:val="00955AD1"/>
    <w:rsid w:val="00955D57"/>
    <w:rsid w:val="00956326"/>
    <w:rsid w:val="0095633E"/>
    <w:rsid w:val="00956440"/>
    <w:rsid w:val="00956796"/>
    <w:rsid w:val="00956951"/>
    <w:rsid w:val="00956B76"/>
    <w:rsid w:val="00956C74"/>
    <w:rsid w:val="00956E75"/>
    <w:rsid w:val="009571CA"/>
    <w:rsid w:val="00957432"/>
    <w:rsid w:val="009576E8"/>
    <w:rsid w:val="00957B6B"/>
    <w:rsid w:val="00957BFC"/>
    <w:rsid w:val="00957C7B"/>
    <w:rsid w:val="00957DF8"/>
    <w:rsid w:val="009602E4"/>
    <w:rsid w:val="009606B3"/>
    <w:rsid w:val="00960994"/>
    <w:rsid w:val="00960C38"/>
    <w:rsid w:val="00961314"/>
    <w:rsid w:val="00961407"/>
    <w:rsid w:val="009619DE"/>
    <w:rsid w:val="00961B00"/>
    <w:rsid w:val="00961BE2"/>
    <w:rsid w:val="00961D01"/>
    <w:rsid w:val="00961E14"/>
    <w:rsid w:val="00961F4A"/>
    <w:rsid w:val="00962163"/>
    <w:rsid w:val="009623FB"/>
    <w:rsid w:val="00962619"/>
    <w:rsid w:val="00962C47"/>
    <w:rsid w:val="00963095"/>
    <w:rsid w:val="00963A75"/>
    <w:rsid w:val="00963EEF"/>
    <w:rsid w:val="0096404D"/>
    <w:rsid w:val="009640D1"/>
    <w:rsid w:val="009643A1"/>
    <w:rsid w:val="009646EA"/>
    <w:rsid w:val="009647FA"/>
    <w:rsid w:val="00964C9A"/>
    <w:rsid w:val="00964D54"/>
    <w:rsid w:val="00964FA4"/>
    <w:rsid w:val="00965090"/>
    <w:rsid w:val="00965318"/>
    <w:rsid w:val="0096550C"/>
    <w:rsid w:val="009655D9"/>
    <w:rsid w:val="00965715"/>
    <w:rsid w:val="00965BE3"/>
    <w:rsid w:val="00965FB9"/>
    <w:rsid w:val="00966092"/>
    <w:rsid w:val="00966395"/>
    <w:rsid w:val="009663EC"/>
    <w:rsid w:val="00966455"/>
    <w:rsid w:val="009664FE"/>
    <w:rsid w:val="00966630"/>
    <w:rsid w:val="009668A7"/>
    <w:rsid w:val="00966BBA"/>
    <w:rsid w:val="00966DEC"/>
    <w:rsid w:val="00966E2F"/>
    <w:rsid w:val="00967266"/>
    <w:rsid w:val="00967556"/>
    <w:rsid w:val="00967C17"/>
    <w:rsid w:val="00967D20"/>
    <w:rsid w:val="00967DF8"/>
    <w:rsid w:val="00967EB2"/>
    <w:rsid w:val="009701C6"/>
    <w:rsid w:val="009701EA"/>
    <w:rsid w:val="0097024E"/>
    <w:rsid w:val="009702B7"/>
    <w:rsid w:val="009704CF"/>
    <w:rsid w:val="009709FA"/>
    <w:rsid w:val="009711F9"/>
    <w:rsid w:val="009715C0"/>
    <w:rsid w:val="009718B6"/>
    <w:rsid w:val="00971A61"/>
    <w:rsid w:val="00971AA2"/>
    <w:rsid w:val="00971AA5"/>
    <w:rsid w:val="00971BDC"/>
    <w:rsid w:val="00972561"/>
    <w:rsid w:val="00972A1D"/>
    <w:rsid w:val="00972C69"/>
    <w:rsid w:val="00972D08"/>
    <w:rsid w:val="00972D48"/>
    <w:rsid w:val="00972D59"/>
    <w:rsid w:val="00972D65"/>
    <w:rsid w:val="00972D6E"/>
    <w:rsid w:val="009734EB"/>
    <w:rsid w:val="00973651"/>
    <w:rsid w:val="009737FC"/>
    <w:rsid w:val="009738DA"/>
    <w:rsid w:val="00973AB9"/>
    <w:rsid w:val="00973D89"/>
    <w:rsid w:val="00973DEF"/>
    <w:rsid w:val="00973E63"/>
    <w:rsid w:val="00973E86"/>
    <w:rsid w:val="00974033"/>
    <w:rsid w:val="009742C1"/>
    <w:rsid w:val="0097488E"/>
    <w:rsid w:val="00974A8B"/>
    <w:rsid w:val="00974AF5"/>
    <w:rsid w:val="00974B39"/>
    <w:rsid w:val="00974D89"/>
    <w:rsid w:val="00975088"/>
    <w:rsid w:val="00975209"/>
    <w:rsid w:val="009753CE"/>
    <w:rsid w:val="00975695"/>
    <w:rsid w:val="009756F6"/>
    <w:rsid w:val="0097589D"/>
    <w:rsid w:val="00975A0B"/>
    <w:rsid w:val="00975B03"/>
    <w:rsid w:val="00976634"/>
    <w:rsid w:val="00976663"/>
    <w:rsid w:val="00976CC2"/>
    <w:rsid w:val="00976E20"/>
    <w:rsid w:val="0097704B"/>
    <w:rsid w:val="009778DC"/>
    <w:rsid w:val="0097794D"/>
    <w:rsid w:val="00977B8B"/>
    <w:rsid w:val="00977FE5"/>
    <w:rsid w:val="0098022A"/>
    <w:rsid w:val="00980475"/>
    <w:rsid w:val="00980678"/>
    <w:rsid w:val="0098089B"/>
    <w:rsid w:val="00980A34"/>
    <w:rsid w:val="00980C92"/>
    <w:rsid w:val="00980D9A"/>
    <w:rsid w:val="00980F91"/>
    <w:rsid w:val="009811B2"/>
    <w:rsid w:val="009811D3"/>
    <w:rsid w:val="009812C2"/>
    <w:rsid w:val="009818E2"/>
    <w:rsid w:val="00982179"/>
    <w:rsid w:val="009823B0"/>
    <w:rsid w:val="00982804"/>
    <w:rsid w:val="009829BE"/>
    <w:rsid w:val="00982A1E"/>
    <w:rsid w:val="00982B66"/>
    <w:rsid w:val="00982BDD"/>
    <w:rsid w:val="00982C33"/>
    <w:rsid w:val="00982D99"/>
    <w:rsid w:val="00982E04"/>
    <w:rsid w:val="00982E19"/>
    <w:rsid w:val="00983495"/>
    <w:rsid w:val="009839B3"/>
    <w:rsid w:val="00983ACB"/>
    <w:rsid w:val="00983BDF"/>
    <w:rsid w:val="00983E45"/>
    <w:rsid w:val="00984035"/>
    <w:rsid w:val="0098413B"/>
    <w:rsid w:val="00984A5E"/>
    <w:rsid w:val="00984CEF"/>
    <w:rsid w:val="00984DFE"/>
    <w:rsid w:val="00984FEC"/>
    <w:rsid w:val="009851FC"/>
    <w:rsid w:val="0098523B"/>
    <w:rsid w:val="009857A2"/>
    <w:rsid w:val="00985A4A"/>
    <w:rsid w:val="00985D26"/>
    <w:rsid w:val="009862DC"/>
    <w:rsid w:val="009865A1"/>
    <w:rsid w:val="00986716"/>
    <w:rsid w:val="00986738"/>
    <w:rsid w:val="009869DE"/>
    <w:rsid w:val="00986A83"/>
    <w:rsid w:val="00986B89"/>
    <w:rsid w:val="00986D8F"/>
    <w:rsid w:val="00986DD8"/>
    <w:rsid w:val="00986F9A"/>
    <w:rsid w:val="00987285"/>
    <w:rsid w:val="00987517"/>
    <w:rsid w:val="00987597"/>
    <w:rsid w:val="0098761D"/>
    <w:rsid w:val="0098764D"/>
    <w:rsid w:val="009878AD"/>
    <w:rsid w:val="009878D4"/>
    <w:rsid w:val="00987EDC"/>
    <w:rsid w:val="00987FDE"/>
    <w:rsid w:val="00990164"/>
    <w:rsid w:val="00990607"/>
    <w:rsid w:val="009907CA"/>
    <w:rsid w:val="009907DC"/>
    <w:rsid w:val="00990A25"/>
    <w:rsid w:val="00990BDB"/>
    <w:rsid w:val="00991105"/>
    <w:rsid w:val="009911F0"/>
    <w:rsid w:val="00991B8F"/>
    <w:rsid w:val="00991EDC"/>
    <w:rsid w:val="00991FE5"/>
    <w:rsid w:val="0099220A"/>
    <w:rsid w:val="00992275"/>
    <w:rsid w:val="009926B5"/>
    <w:rsid w:val="00992719"/>
    <w:rsid w:val="0099285F"/>
    <w:rsid w:val="00992B34"/>
    <w:rsid w:val="00992F76"/>
    <w:rsid w:val="00993331"/>
    <w:rsid w:val="009935D1"/>
    <w:rsid w:val="00993A9A"/>
    <w:rsid w:val="00993B9D"/>
    <w:rsid w:val="00993D28"/>
    <w:rsid w:val="00993F9C"/>
    <w:rsid w:val="009940CC"/>
    <w:rsid w:val="0099432B"/>
    <w:rsid w:val="0099450A"/>
    <w:rsid w:val="009948A8"/>
    <w:rsid w:val="009948F4"/>
    <w:rsid w:val="00994ABA"/>
    <w:rsid w:val="00994BAE"/>
    <w:rsid w:val="00995480"/>
    <w:rsid w:val="009956E4"/>
    <w:rsid w:val="00995911"/>
    <w:rsid w:val="00995A90"/>
    <w:rsid w:val="00995E93"/>
    <w:rsid w:val="00996252"/>
    <w:rsid w:val="009967F6"/>
    <w:rsid w:val="009967FF"/>
    <w:rsid w:val="00996942"/>
    <w:rsid w:val="00996F94"/>
    <w:rsid w:val="0099745E"/>
    <w:rsid w:val="00997B2A"/>
    <w:rsid w:val="00997CB2"/>
    <w:rsid w:val="00997D4F"/>
    <w:rsid w:val="009A0238"/>
    <w:rsid w:val="009A0290"/>
    <w:rsid w:val="009A0C8F"/>
    <w:rsid w:val="009A11BE"/>
    <w:rsid w:val="009A11FA"/>
    <w:rsid w:val="009A14E0"/>
    <w:rsid w:val="009A1B2D"/>
    <w:rsid w:val="009A1B6E"/>
    <w:rsid w:val="009A1B9A"/>
    <w:rsid w:val="009A1D81"/>
    <w:rsid w:val="009A1F1F"/>
    <w:rsid w:val="009A210F"/>
    <w:rsid w:val="009A2286"/>
    <w:rsid w:val="009A261C"/>
    <w:rsid w:val="009A30D2"/>
    <w:rsid w:val="009A36A5"/>
    <w:rsid w:val="009A3985"/>
    <w:rsid w:val="009A3C08"/>
    <w:rsid w:val="009A402A"/>
    <w:rsid w:val="009A4A11"/>
    <w:rsid w:val="009A4B3E"/>
    <w:rsid w:val="009A4B81"/>
    <w:rsid w:val="009A4DB7"/>
    <w:rsid w:val="009A4F2F"/>
    <w:rsid w:val="009A5432"/>
    <w:rsid w:val="009A5476"/>
    <w:rsid w:val="009A54D6"/>
    <w:rsid w:val="009A57B8"/>
    <w:rsid w:val="009A584A"/>
    <w:rsid w:val="009A5B7D"/>
    <w:rsid w:val="009A5D66"/>
    <w:rsid w:val="009A5E0B"/>
    <w:rsid w:val="009A5E31"/>
    <w:rsid w:val="009A5EAE"/>
    <w:rsid w:val="009A6866"/>
    <w:rsid w:val="009A692F"/>
    <w:rsid w:val="009A69EB"/>
    <w:rsid w:val="009A6B46"/>
    <w:rsid w:val="009A6B90"/>
    <w:rsid w:val="009A7100"/>
    <w:rsid w:val="009A740E"/>
    <w:rsid w:val="009A74ED"/>
    <w:rsid w:val="009A77E2"/>
    <w:rsid w:val="009A77E4"/>
    <w:rsid w:val="009A7DF1"/>
    <w:rsid w:val="009A7FBB"/>
    <w:rsid w:val="009B0051"/>
    <w:rsid w:val="009B02DD"/>
    <w:rsid w:val="009B06EA"/>
    <w:rsid w:val="009B0784"/>
    <w:rsid w:val="009B0789"/>
    <w:rsid w:val="009B0A11"/>
    <w:rsid w:val="009B0DA8"/>
    <w:rsid w:val="009B1728"/>
    <w:rsid w:val="009B173E"/>
    <w:rsid w:val="009B1783"/>
    <w:rsid w:val="009B1B86"/>
    <w:rsid w:val="009B1CF5"/>
    <w:rsid w:val="009B1F0E"/>
    <w:rsid w:val="009B1F20"/>
    <w:rsid w:val="009B2325"/>
    <w:rsid w:val="009B2338"/>
    <w:rsid w:val="009B23F1"/>
    <w:rsid w:val="009B26A6"/>
    <w:rsid w:val="009B2CDB"/>
    <w:rsid w:val="009B31CD"/>
    <w:rsid w:val="009B3218"/>
    <w:rsid w:val="009B3284"/>
    <w:rsid w:val="009B40E8"/>
    <w:rsid w:val="009B41F9"/>
    <w:rsid w:val="009B4390"/>
    <w:rsid w:val="009B43CE"/>
    <w:rsid w:val="009B45FC"/>
    <w:rsid w:val="009B479E"/>
    <w:rsid w:val="009B4AB0"/>
    <w:rsid w:val="009B4FD3"/>
    <w:rsid w:val="009B534B"/>
    <w:rsid w:val="009B5565"/>
    <w:rsid w:val="009B5824"/>
    <w:rsid w:val="009B584B"/>
    <w:rsid w:val="009B5D55"/>
    <w:rsid w:val="009B5D8F"/>
    <w:rsid w:val="009B5DAF"/>
    <w:rsid w:val="009B5E51"/>
    <w:rsid w:val="009B6097"/>
    <w:rsid w:val="009B6221"/>
    <w:rsid w:val="009B6F66"/>
    <w:rsid w:val="009B773F"/>
    <w:rsid w:val="009B7BB8"/>
    <w:rsid w:val="009B7EDC"/>
    <w:rsid w:val="009B7EE0"/>
    <w:rsid w:val="009C003A"/>
    <w:rsid w:val="009C056A"/>
    <w:rsid w:val="009C066D"/>
    <w:rsid w:val="009C079D"/>
    <w:rsid w:val="009C0AA9"/>
    <w:rsid w:val="009C0FD5"/>
    <w:rsid w:val="009C18DA"/>
    <w:rsid w:val="009C2032"/>
    <w:rsid w:val="009C2442"/>
    <w:rsid w:val="009C2602"/>
    <w:rsid w:val="009C2813"/>
    <w:rsid w:val="009C29EA"/>
    <w:rsid w:val="009C2D48"/>
    <w:rsid w:val="009C3396"/>
    <w:rsid w:val="009C3480"/>
    <w:rsid w:val="009C3967"/>
    <w:rsid w:val="009C3A5A"/>
    <w:rsid w:val="009C3CFB"/>
    <w:rsid w:val="009C4016"/>
    <w:rsid w:val="009C4F32"/>
    <w:rsid w:val="009C547F"/>
    <w:rsid w:val="009C58CD"/>
    <w:rsid w:val="009C5EDD"/>
    <w:rsid w:val="009C6084"/>
    <w:rsid w:val="009C6577"/>
    <w:rsid w:val="009C6995"/>
    <w:rsid w:val="009C6DD0"/>
    <w:rsid w:val="009C6E49"/>
    <w:rsid w:val="009C732E"/>
    <w:rsid w:val="009C7395"/>
    <w:rsid w:val="009C7A2E"/>
    <w:rsid w:val="009C7BA6"/>
    <w:rsid w:val="009D043A"/>
    <w:rsid w:val="009D0D32"/>
    <w:rsid w:val="009D0DC5"/>
    <w:rsid w:val="009D0FAB"/>
    <w:rsid w:val="009D0FFE"/>
    <w:rsid w:val="009D14EE"/>
    <w:rsid w:val="009D1716"/>
    <w:rsid w:val="009D196C"/>
    <w:rsid w:val="009D199D"/>
    <w:rsid w:val="009D1CD1"/>
    <w:rsid w:val="009D1D75"/>
    <w:rsid w:val="009D1F93"/>
    <w:rsid w:val="009D20BC"/>
    <w:rsid w:val="009D2123"/>
    <w:rsid w:val="009D2154"/>
    <w:rsid w:val="009D231D"/>
    <w:rsid w:val="009D24F1"/>
    <w:rsid w:val="009D26DE"/>
    <w:rsid w:val="009D26E9"/>
    <w:rsid w:val="009D2F9D"/>
    <w:rsid w:val="009D31F5"/>
    <w:rsid w:val="009D3463"/>
    <w:rsid w:val="009D3494"/>
    <w:rsid w:val="009D374F"/>
    <w:rsid w:val="009D38AF"/>
    <w:rsid w:val="009D3E89"/>
    <w:rsid w:val="009D405B"/>
    <w:rsid w:val="009D419A"/>
    <w:rsid w:val="009D4565"/>
    <w:rsid w:val="009D4A5F"/>
    <w:rsid w:val="009D4A71"/>
    <w:rsid w:val="009D4C4A"/>
    <w:rsid w:val="009D5354"/>
    <w:rsid w:val="009D5372"/>
    <w:rsid w:val="009D5776"/>
    <w:rsid w:val="009D57C9"/>
    <w:rsid w:val="009D5B41"/>
    <w:rsid w:val="009D5CE6"/>
    <w:rsid w:val="009D5FEE"/>
    <w:rsid w:val="009D665F"/>
    <w:rsid w:val="009D6B0A"/>
    <w:rsid w:val="009D6D2D"/>
    <w:rsid w:val="009D78BB"/>
    <w:rsid w:val="009D7D16"/>
    <w:rsid w:val="009D7D43"/>
    <w:rsid w:val="009D7EBB"/>
    <w:rsid w:val="009E01A0"/>
    <w:rsid w:val="009E044C"/>
    <w:rsid w:val="009E09CE"/>
    <w:rsid w:val="009E0BEB"/>
    <w:rsid w:val="009E0CC1"/>
    <w:rsid w:val="009E0DF7"/>
    <w:rsid w:val="009E0E66"/>
    <w:rsid w:val="009E1744"/>
    <w:rsid w:val="009E17E7"/>
    <w:rsid w:val="009E1C4A"/>
    <w:rsid w:val="009E1E0D"/>
    <w:rsid w:val="009E1FA8"/>
    <w:rsid w:val="009E20DA"/>
    <w:rsid w:val="009E25CC"/>
    <w:rsid w:val="009E26A6"/>
    <w:rsid w:val="009E27C5"/>
    <w:rsid w:val="009E2B5E"/>
    <w:rsid w:val="009E2DCD"/>
    <w:rsid w:val="009E2E2F"/>
    <w:rsid w:val="009E300C"/>
    <w:rsid w:val="009E3087"/>
    <w:rsid w:val="009E3095"/>
    <w:rsid w:val="009E331F"/>
    <w:rsid w:val="009E364F"/>
    <w:rsid w:val="009E3650"/>
    <w:rsid w:val="009E41F6"/>
    <w:rsid w:val="009E49A0"/>
    <w:rsid w:val="009E4EF1"/>
    <w:rsid w:val="009E578B"/>
    <w:rsid w:val="009E58B0"/>
    <w:rsid w:val="009E5978"/>
    <w:rsid w:val="009E610D"/>
    <w:rsid w:val="009E62BE"/>
    <w:rsid w:val="009E6356"/>
    <w:rsid w:val="009E64A6"/>
    <w:rsid w:val="009E664B"/>
    <w:rsid w:val="009E66E6"/>
    <w:rsid w:val="009E680F"/>
    <w:rsid w:val="009E6AE7"/>
    <w:rsid w:val="009E6F2B"/>
    <w:rsid w:val="009E70B3"/>
    <w:rsid w:val="009E74A3"/>
    <w:rsid w:val="009E7522"/>
    <w:rsid w:val="009E7604"/>
    <w:rsid w:val="009E763A"/>
    <w:rsid w:val="009E7992"/>
    <w:rsid w:val="009E7A8F"/>
    <w:rsid w:val="009E7A90"/>
    <w:rsid w:val="009E7B79"/>
    <w:rsid w:val="009E7B97"/>
    <w:rsid w:val="009E7DC7"/>
    <w:rsid w:val="009F014B"/>
    <w:rsid w:val="009F0187"/>
    <w:rsid w:val="009F0272"/>
    <w:rsid w:val="009F033B"/>
    <w:rsid w:val="009F05CC"/>
    <w:rsid w:val="009F06DB"/>
    <w:rsid w:val="009F0C89"/>
    <w:rsid w:val="009F0E38"/>
    <w:rsid w:val="009F10E7"/>
    <w:rsid w:val="009F12BF"/>
    <w:rsid w:val="009F1462"/>
    <w:rsid w:val="009F147A"/>
    <w:rsid w:val="009F14AB"/>
    <w:rsid w:val="009F1657"/>
    <w:rsid w:val="009F184A"/>
    <w:rsid w:val="009F1AAF"/>
    <w:rsid w:val="009F1CD8"/>
    <w:rsid w:val="009F1DA0"/>
    <w:rsid w:val="009F1EB2"/>
    <w:rsid w:val="009F2057"/>
    <w:rsid w:val="009F2130"/>
    <w:rsid w:val="009F217B"/>
    <w:rsid w:val="009F281F"/>
    <w:rsid w:val="009F2B7B"/>
    <w:rsid w:val="009F2F12"/>
    <w:rsid w:val="009F32DB"/>
    <w:rsid w:val="009F3627"/>
    <w:rsid w:val="009F3731"/>
    <w:rsid w:val="009F3E1F"/>
    <w:rsid w:val="009F3FC3"/>
    <w:rsid w:val="009F41D6"/>
    <w:rsid w:val="009F4A62"/>
    <w:rsid w:val="009F4F09"/>
    <w:rsid w:val="009F4FD2"/>
    <w:rsid w:val="009F505B"/>
    <w:rsid w:val="009F517A"/>
    <w:rsid w:val="009F56EF"/>
    <w:rsid w:val="009F5B7E"/>
    <w:rsid w:val="009F61C6"/>
    <w:rsid w:val="009F62C7"/>
    <w:rsid w:val="009F6A35"/>
    <w:rsid w:val="009F6EB5"/>
    <w:rsid w:val="009F7576"/>
    <w:rsid w:val="009F75EC"/>
    <w:rsid w:val="009F76FD"/>
    <w:rsid w:val="009F7BCA"/>
    <w:rsid w:val="00A00125"/>
    <w:rsid w:val="00A0023B"/>
    <w:rsid w:val="00A0028B"/>
    <w:rsid w:val="00A00400"/>
    <w:rsid w:val="00A00425"/>
    <w:rsid w:val="00A0070B"/>
    <w:rsid w:val="00A00ABD"/>
    <w:rsid w:val="00A00E31"/>
    <w:rsid w:val="00A00E7E"/>
    <w:rsid w:val="00A00E9E"/>
    <w:rsid w:val="00A01279"/>
    <w:rsid w:val="00A0150A"/>
    <w:rsid w:val="00A01765"/>
    <w:rsid w:val="00A0183B"/>
    <w:rsid w:val="00A01CE7"/>
    <w:rsid w:val="00A020AB"/>
    <w:rsid w:val="00A02247"/>
    <w:rsid w:val="00A024C7"/>
    <w:rsid w:val="00A02580"/>
    <w:rsid w:val="00A0297A"/>
    <w:rsid w:val="00A02DD0"/>
    <w:rsid w:val="00A031F1"/>
    <w:rsid w:val="00A036F5"/>
    <w:rsid w:val="00A037C1"/>
    <w:rsid w:val="00A03AE8"/>
    <w:rsid w:val="00A03D81"/>
    <w:rsid w:val="00A03E43"/>
    <w:rsid w:val="00A03E45"/>
    <w:rsid w:val="00A03EA5"/>
    <w:rsid w:val="00A042E3"/>
    <w:rsid w:val="00A0435B"/>
    <w:rsid w:val="00A043C5"/>
    <w:rsid w:val="00A049B9"/>
    <w:rsid w:val="00A04D90"/>
    <w:rsid w:val="00A04E14"/>
    <w:rsid w:val="00A05148"/>
    <w:rsid w:val="00A054D5"/>
    <w:rsid w:val="00A05630"/>
    <w:rsid w:val="00A056BE"/>
    <w:rsid w:val="00A0573B"/>
    <w:rsid w:val="00A0576C"/>
    <w:rsid w:val="00A0584E"/>
    <w:rsid w:val="00A058B3"/>
    <w:rsid w:val="00A059D1"/>
    <w:rsid w:val="00A05BCF"/>
    <w:rsid w:val="00A05CAF"/>
    <w:rsid w:val="00A06549"/>
    <w:rsid w:val="00A067E6"/>
    <w:rsid w:val="00A06930"/>
    <w:rsid w:val="00A0698D"/>
    <w:rsid w:val="00A06CF3"/>
    <w:rsid w:val="00A06DD6"/>
    <w:rsid w:val="00A07628"/>
    <w:rsid w:val="00A077D4"/>
    <w:rsid w:val="00A079D0"/>
    <w:rsid w:val="00A07ECA"/>
    <w:rsid w:val="00A1000E"/>
    <w:rsid w:val="00A10D65"/>
    <w:rsid w:val="00A10E24"/>
    <w:rsid w:val="00A10EC1"/>
    <w:rsid w:val="00A10F36"/>
    <w:rsid w:val="00A114CB"/>
    <w:rsid w:val="00A11656"/>
    <w:rsid w:val="00A11E5F"/>
    <w:rsid w:val="00A11FB8"/>
    <w:rsid w:val="00A123C1"/>
    <w:rsid w:val="00A1244F"/>
    <w:rsid w:val="00A124EB"/>
    <w:rsid w:val="00A12B71"/>
    <w:rsid w:val="00A12F6D"/>
    <w:rsid w:val="00A13049"/>
    <w:rsid w:val="00A130DF"/>
    <w:rsid w:val="00A13121"/>
    <w:rsid w:val="00A132C0"/>
    <w:rsid w:val="00A132E7"/>
    <w:rsid w:val="00A135F6"/>
    <w:rsid w:val="00A138A1"/>
    <w:rsid w:val="00A13AFB"/>
    <w:rsid w:val="00A13DFE"/>
    <w:rsid w:val="00A13FAD"/>
    <w:rsid w:val="00A142F7"/>
    <w:rsid w:val="00A1483A"/>
    <w:rsid w:val="00A14A50"/>
    <w:rsid w:val="00A14B5C"/>
    <w:rsid w:val="00A14C9B"/>
    <w:rsid w:val="00A14DEB"/>
    <w:rsid w:val="00A1506E"/>
    <w:rsid w:val="00A1509A"/>
    <w:rsid w:val="00A150B4"/>
    <w:rsid w:val="00A155CC"/>
    <w:rsid w:val="00A15612"/>
    <w:rsid w:val="00A1564A"/>
    <w:rsid w:val="00A15927"/>
    <w:rsid w:val="00A15C39"/>
    <w:rsid w:val="00A15EDF"/>
    <w:rsid w:val="00A168E9"/>
    <w:rsid w:val="00A16B98"/>
    <w:rsid w:val="00A16C90"/>
    <w:rsid w:val="00A16E2A"/>
    <w:rsid w:val="00A16F1F"/>
    <w:rsid w:val="00A16FBA"/>
    <w:rsid w:val="00A17267"/>
    <w:rsid w:val="00A17336"/>
    <w:rsid w:val="00A174A3"/>
    <w:rsid w:val="00A17A5C"/>
    <w:rsid w:val="00A17B2C"/>
    <w:rsid w:val="00A17BCD"/>
    <w:rsid w:val="00A17F6D"/>
    <w:rsid w:val="00A17FB4"/>
    <w:rsid w:val="00A17FCA"/>
    <w:rsid w:val="00A2041C"/>
    <w:rsid w:val="00A20500"/>
    <w:rsid w:val="00A20537"/>
    <w:rsid w:val="00A2063C"/>
    <w:rsid w:val="00A20B8D"/>
    <w:rsid w:val="00A20F52"/>
    <w:rsid w:val="00A21554"/>
    <w:rsid w:val="00A218EB"/>
    <w:rsid w:val="00A21947"/>
    <w:rsid w:val="00A21BED"/>
    <w:rsid w:val="00A2214F"/>
    <w:rsid w:val="00A2216B"/>
    <w:rsid w:val="00A221BE"/>
    <w:rsid w:val="00A22294"/>
    <w:rsid w:val="00A22362"/>
    <w:rsid w:val="00A224C9"/>
    <w:rsid w:val="00A22601"/>
    <w:rsid w:val="00A22855"/>
    <w:rsid w:val="00A22CCE"/>
    <w:rsid w:val="00A22DC8"/>
    <w:rsid w:val="00A22F46"/>
    <w:rsid w:val="00A2304F"/>
    <w:rsid w:val="00A2334B"/>
    <w:rsid w:val="00A23436"/>
    <w:rsid w:val="00A2352B"/>
    <w:rsid w:val="00A23A7A"/>
    <w:rsid w:val="00A23B87"/>
    <w:rsid w:val="00A23BDA"/>
    <w:rsid w:val="00A23D2E"/>
    <w:rsid w:val="00A23E92"/>
    <w:rsid w:val="00A243DD"/>
    <w:rsid w:val="00A24597"/>
    <w:rsid w:val="00A248B1"/>
    <w:rsid w:val="00A24B1E"/>
    <w:rsid w:val="00A24BE1"/>
    <w:rsid w:val="00A25374"/>
    <w:rsid w:val="00A25454"/>
    <w:rsid w:val="00A256A8"/>
    <w:rsid w:val="00A256C9"/>
    <w:rsid w:val="00A256DB"/>
    <w:rsid w:val="00A25A6F"/>
    <w:rsid w:val="00A25E0D"/>
    <w:rsid w:val="00A25FF5"/>
    <w:rsid w:val="00A26204"/>
    <w:rsid w:val="00A2658D"/>
    <w:rsid w:val="00A26828"/>
    <w:rsid w:val="00A268D8"/>
    <w:rsid w:val="00A26E21"/>
    <w:rsid w:val="00A26E35"/>
    <w:rsid w:val="00A26E98"/>
    <w:rsid w:val="00A2743C"/>
    <w:rsid w:val="00A27465"/>
    <w:rsid w:val="00A27B02"/>
    <w:rsid w:val="00A27DAE"/>
    <w:rsid w:val="00A3019E"/>
    <w:rsid w:val="00A3046C"/>
    <w:rsid w:val="00A304C4"/>
    <w:rsid w:val="00A30917"/>
    <w:rsid w:val="00A30D3E"/>
    <w:rsid w:val="00A30DB5"/>
    <w:rsid w:val="00A314BD"/>
    <w:rsid w:val="00A31972"/>
    <w:rsid w:val="00A319FD"/>
    <w:rsid w:val="00A31CF5"/>
    <w:rsid w:val="00A32339"/>
    <w:rsid w:val="00A32391"/>
    <w:rsid w:val="00A323D0"/>
    <w:rsid w:val="00A327AB"/>
    <w:rsid w:val="00A32AFC"/>
    <w:rsid w:val="00A335A4"/>
    <w:rsid w:val="00A3369E"/>
    <w:rsid w:val="00A33AFC"/>
    <w:rsid w:val="00A33B65"/>
    <w:rsid w:val="00A341AD"/>
    <w:rsid w:val="00A34275"/>
    <w:rsid w:val="00A344A5"/>
    <w:rsid w:val="00A344D8"/>
    <w:rsid w:val="00A344E6"/>
    <w:rsid w:val="00A3519F"/>
    <w:rsid w:val="00A3526B"/>
    <w:rsid w:val="00A3532C"/>
    <w:rsid w:val="00A35498"/>
    <w:rsid w:val="00A3588D"/>
    <w:rsid w:val="00A35E24"/>
    <w:rsid w:val="00A36029"/>
    <w:rsid w:val="00A3636C"/>
    <w:rsid w:val="00A3651D"/>
    <w:rsid w:val="00A36716"/>
    <w:rsid w:val="00A367D5"/>
    <w:rsid w:val="00A36C95"/>
    <w:rsid w:val="00A36CD3"/>
    <w:rsid w:val="00A36D5C"/>
    <w:rsid w:val="00A371FA"/>
    <w:rsid w:val="00A37698"/>
    <w:rsid w:val="00A37705"/>
    <w:rsid w:val="00A37A88"/>
    <w:rsid w:val="00A37B14"/>
    <w:rsid w:val="00A37DA9"/>
    <w:rsid w:val="00A40652"/>
    <w:rsid w:val="00A40691"/>
    <w:rsid w:val="00A408E5"/>
    <w:rsid w:val="00A41348"/>
    <w:rsid w:val="00A41723"/>
    <w:rsid w:val="00A419D3"/>
    <w:rsid w:val="00A42039"/>
    <w:rsid w:val="00A421A2"/>
    <w:rsid w:val="00A43146"/>
    <w:rsid w:val="00A4314D"/>
    <w:rsid w:val="00A431D9"/>
    <w:rsid w:val="00A43218"/>
    <w:rsid w:val="00A43324"/>
    <w:rsid w:val="00A4332D"/>
    <w:rsid w:val="00A43881"/>
    <w:rsid w:val="00A43A78"/>
    <w:rsid w:val="00A43B3B"/>
    <w:rsid w:val="00A43D0A"/>
    <w:rsid w:val="00A44427"/>
    <w:rsid w:val="00A44A77"/>
    <w:rsid w:val="00A44AF4"/>
    <w:rsid w:val="00A44BA1"/>
    <w:rsid w:val="00A45018"/>
    <w:rsid w:val="00A4511F"/>
    <w:rsid w:val="00A456B1"/>
    <w:rsid w:val="00A456FC"/>
    <w:rsid w:val="00A45E58"/>
    <w:rsid w:val="00A461F3"/>
    <w:rsid w:val="00A4636C"/>
    <w:rsid w:val="00A467D9"/>
    <w:rsid w:val="00A46804"/>
    <w:rsid w:val="00A46A7B"/>
    <w:rsid w:val="00A46ABD"/>
    <w:rsid w:val="00A46D8D"/>
    <w:rsid w:val="00A46D8E"/>
    <w:rsid w:val="00A4742B"/>
    <w:rsid w:val="00A47931"/>
    <w:rsid w:val="00A47AC7"/>
    <w:rsid w:val="00A47AD1"/>
    <w:rsid w:val="00A47D28"/>
    <w:rsid w:val="00A47DB6"/>
    <w:rsid w:val="00A47F20"/>
    <w:rsid w:val="00A502CB"/>
    <w:rsid w:val="00A5051F"/>
    <w:rsid w:val="00A50694"/>
    <w:rsid w:val="00A507E0"/>
    <w:rsid w:val="00A509D3"/>
    <w:rsid w:val="00A50D33"/>
    <w:rsid w:val="00A512E1"/>
    <w:rsid w:val="00A51304"/>
    <w:rsid w:val="00A517FB"/>
    <w:rsid w:val="00A51AD6"/>
    <w:rsid w:val="00A5211E"/>
    <w:rsid w:val="00A5244A"/>
    <w:rsid w:val="00A52B0D"/>
    <w:rsid w:val="00A52E03"/>
    <w:rsid w:val="00A53818"/>
    <w:rsid w:val="00A53CEB"/>
    <w:rsid w:val="00A5412F"/>
    <w:rsid w:val="00A5415B"/>
    <w:rsid w:val="00A5416E"/>
    <w:rsid w:val="00A541BD"/>
    <w:rsid w:val="00A547F7"/>
    <w:rsid w:val="00A54881"/>
    <w:rsid w:val="00A54A6F"/>
    <w:rsid w:val="00A54FEA"/>
    <w:rsid w:val="00A5532F"/>
    <w:rsid w:val="00A558D2"/>
    <w:rsid w:val="00A559B7"/>
    <w:rsid w:val="00A55CCC"/>
    <w:rsid w:val="00A56122"/>
    <w:rsid w:val="00A5627C"/>
    <w:rsid w:val="00A5632C"/>
    <w:rsid w:val="00A5632F"/>
    <w:rsid w:val="00A563E1"/>
    <w:rsid w:val="00A5659A"/>
    <w:rsid w:val="00A56735"/>
    <w:rsid w:val="00A567B4"/>
    <w:rsid w:val="00A56FDC"/>
    <w:rsid w:val="00A57394"/>
    <w:rsid w:val="00A576FA"/>
    <w:rsid w:val="00A578C7"/>
    <w:rsid w:val="00A57E21"/>
    <w:rsid w:val="00A600AD"/>
    <w:rsid w:val="00A609E4"/>
    <w:rsid w:val="00A60A80"/>
    <w:rsid w:val="00A60B77"/>
    <w:rsid w:val="00A60B84"/>
    <w:rsid w:val="00A60C69"/>
    <w:rsid w:val="00A6105F"/>
    <w:rsid w:val="00A61551"/>
    <w:rsid w:val="00A61A46"/>
    <w:rsid w:val="00A6250B"/>
    <w:rsid w:val="00A6252E"/>
    <w:rsid w:val="00A6271A"/>
    <w:rsid w:val="00A6343C"/>
    <w:rsid w:val="00A6382E"/>
    <w:rsid w:val="00A63866"/>
    <w:rsid w:val="00A643B5"/>
    <w:rsid w:val="00A648E0"/>
    <w:rsid w:val="00A649C5"/>
    <w:rsid w:val="00A64DC2"/>
    <w:rsid w:val="00A64E39"/>
    <w:rsid w:val="00A65181"/>
    <w:rsid w:val="00A65588"/>
    <w:rsid w:val="00A65F78"/>
    <w:rsid w:val="00A663FA"/>
    <w:rsid w:val="00A66443"/>
    <w:rsid w:val="00A66535"/>
    <w:rsid w:val="00A66848"/>
    <w:rsid w:val="00A66C15"/>
    <w:rsid w:val="00A66DA2"/>
    <w:rsid w:val="00A66E0B"/>
    <w:rsid w:val="00A66FB6"/>
    <w:rsid w:val="00A7078B"/>
    <w:rsid w:val="00A7080E"/>
    <w:rsid w:val="00A70842"/>
    <w:rsid w:val="00A70C19"/>
    <w:rsid w:val="00A70D7C"/>
    <w:rsid w:val="00A71F46"/>
    <w:rsid w:val="00A720A7"/>
    <w:rsid w:val="00A7232B"/>
    <w:rsid w:val="00A728C2"/>
    <w:rsid w:val="00A72B8A"/>
    <w:rsid w:val="00A7345E"/>
    <w:rsid w:val="00A734CD"/>
    <w:rsid w:val="00A7359A"/>
    <w:rsid w:val="00A736A9"/>
    <w:rsid w:val="00A7386D"/>
    <w:rsid w:val="00A73DD1"/>
    <w:rsid w:val="00A73FD6"/>
    <w:rsid w:val="00A745DC"/>
    <w:rsid w:val="00A7496F"/>
    <w:rsid w:val="00A74D99"/>
    <w:rsid w:val="00A75230"/>
    <w:rsid w:val="00A7553A"/>
    <w:rsid w:val="00A75638"/>
    <w:rsid w:val="00A76095"/>
    <w:rsid w:val="00A76383"/>
    <w:rsid w:val="00A764CD"/>
    <w:rsid w:val="00A76841"/>
    <w:rsid w:val="00A76C6D"/>
    <w:rsid w:val="00A76C9B"/>
    <w:rsid w:val="00A7718C"/>
    <w:rsid w:val="00A773C9"/>
    <w:rsid w:val="00A776DF"/>
    <w:rsid w:val="00A77BCC"/>
    <w:rsid w:val="00A77BD3"/>
    <w:rsid w:val="00A802AA"/>
    <w:rsid w:val="00A80969"/>
    <w:rsid w:val="00A80D9B"/>
    <w:rsid w:val="00A81169"/>
    <w:rsid w:val="00A81884"/>
    <w:rsid w:val="00A8198E"/>
    <w:rsid w:val="00A81A02"/>
    <w:rsid w:val="00A81BAD"/>
    <w:rsid w:val="00A81BFF"/>
    <w:rsid w:val="00A81CB8"/>
    <w:rsid w:val="00A82057"/>
    <w:rsid w:val="00A8239A"/>
    <w:rsid w:val="00A82928"/>
    <w:rsid w:val="00A829A0"/>
    <w:rsid w:val="00A82E03"/>
    <w:rsid w:val="00A8305C"/>
    <w:rsid w:val="00A8354A"/>
    <w:rsid w:val="00A83617"/>
    <w:rsid w:val="00A837B0"/>
    <w:rsid w:val="00A83827"/>
    <w:rsid w:val="00A83A90"/>
    <w:rsid w:val="00A83DB5"/>
    <w:rsid w:val="00A83F2C"/>
    <w:rsid w:val="00A84059"/>
    <w:rsid w:val="00A8406A"/>
    <w:rsid w:val="00A840F3"/>
    <w:rsid w:val="00A8441A"/>
    <w:rsid w:val="00A84737"/>
    <w:rsid w:val="00A84B1E"/>
    <w:rsid w:val="00A84B6E"/>
    <w:rsid w:val="00A850B2"/>
    <w:rsid w:val="00A854AE"/>
    <w:rsid w:val="00A85BEC"/>
    <w:rsid w:val="00A86991"/>
    <w:rsid w:val="00A86BB0"/>
    <w:rsid w:val="00A86EAD"/>
    <w:rsid w:val="00A86EDE"/>
    <w:rsid w:val="00A875F7"/>
    <w:rsid w:val="00A87614"/>
    <w:rsid w:val="00A87706"/>
    <w:rsid w:val="00A877C8"/>
    <w:rsid w:val="00A87966"/>
    <w:rsid w:val="00A87970"/>
    <w:rsid w:val="00A87A7B"/>
    <w:rsid w:val="00A87B70"/>
    <w:rsid w:val="00A87E49"/>
    <w:rsid w:val="00A90016"/>
    <w:rsid w:val="00A905FB"/>
    <w:rsid w:val="00A90691"/>
    <w:rsid w:val="00A906E1"/>
    <w:rsid w:val="00A90824"/>
    <w:rsid w:val="00A909DE"/>
    <w:rsid w:val="00A90A7F"/>
    <w:rsid w:val="00A90FDC"/>
    <w:rsid w:val="00A910FB"/>
    <w:rsid w:val="00A91141"/>
    <w:rsid w:val="00A911B2"/>
    <w:rsid w:val="00A91216"/>
    <w:rsid w:val="00A9174A"/>
    <w:rsid w:val="00A9185D"/>
    <w:rsid w:val="00A9197C"/>
    <w:rsid w:val="00A91E8B"/>
    <w:rsid w:val="00A91FDA"/>
    <w:rsid w:val="00A92383"/>
    <w:rsid w:val="00A92591"/>
    <w:rsid w:val="00A926B4"/>
    <w:rsid w:val="00A92917"/>
    <w:rsid w:val="00A92B3C"/>
    <w:rsid w:val="00A92CE7"/>
    <w:rsid w:val="00A92D6A"/>
    <w:rsid w:val="00A92FA1"/>
    <w:rsid w:val="00A9385D"/>
    <w:rsid w:val="00A9386A"/>
    <w:rsid w:val="00A938EE"/>
    <w:rsid w:val="00A93A88"/>
    <w:rsid w:val="00A93A9D"/>
    <w:rsid w:val="00A93CD1"/>
    <w:rsid w:val="00A94119"/>
    <w:rsid w:val="00A94653"/>
    <w:rsid w:val="00A9474C"/>
    <w:rsid w:val="00A94BBB"/>
    <w:rsid w:val="00A94C66"/>
    <w:rsid w:val="00A95144"/>
    <w:rsid w:val="00A95247"/>
    <w:rsid w:val="00A952BD"/>
    <w:rsid w:val="00A952C9"/>
    <w:rsid w:val="00A953BE"/>
    <w:rsid w:val="00A956CC"/>
    <w:rsid w:val="00A958EA"/>
    <w:rsid w:val="00A95988"/>
    <w:rsid w:val="00A95BE6"/>
    <w:rsid w:val="00A96D3D"/>
    <w:rsid w:val="00A96E98"/>
    <w:rsid w:val="00A96EE4"/>
    <w:rsid w:val="00A973B4"/>
    <w:rsid w:val="00A9793E"/>
    <w:rsid w:val="00A979B0"/>
    <w:rsid w:val="00A97D5C"/>
    <w:rsid w:val="00A97E8F"/>
    <w:rsid w:val="00AA0182"/>
    <w:rsid w:val="00AA0B48"/>
    <w:rsid w:val="00AA0C7B"/>
    <w:rsid w:val="00AA0E2C"/>
    <w:rsid w:val="00AA1010"/>
    <w:rsid w:val="00AA1073"/>
    <w:rsid w:val="00AA12A8"/>
    <w:rsid w:val="00AA1363"/>
    <w:rsid w:val="00AA1405"/>
    <w:rsid w:val="00AA1D38"/>
    <w:rsid w:val="00AA1ED1"/>
    <w:rsid w:val="00AA2110"/>
    <w:rsid w:val="00AA29EA"/>
    <w:rsid w:val="00AA2FD6"/>
    <w:rsid w:val="00AA31BA"/>
    <w:rsid w:val="00AA33ED"/>
    <w:rsid w:val="00AA3476"/>
    <w:rsid w:val="00AA34F0"/>
    <w:rsid w:val="00AA3647"/>
    <w:rsid w:val="00AA3804"/>
    <w:rsid w:val="00AA3A9C"/>
    <w:rsid w:val="00AA3BCA"/>
    <w:rsid w:val="00AA3FAB"/>
    <w:rsid w:val="00AA4316"/>
    <w:rsid w:val="00AA4565"/>
    <w:rsid w:val="00AA4750"/>
    <w:rsid w:val="00AA4EA6"/>
    <w:rsid w:val="00AA51E4"/>
    <w:rsid w:val="00AA5210"/>
    <w:rsid w:val="00AA5BA0"/>
    <w:rsid w:val="00AA5ED7"/>
    <w:rsid w:val="00AA66E2"/>
    <w:rsid w:val="00AA6786"/>
    <w:rsid w:val="00AA7079"/>
    <w:rsid w:val="00AA7360"/>
    <w:rsid w:val="00AA7526"/>
    <w:rsid w:val="00AA752D"/>
    <w:rsid w:val="00AA772B"/>
    <w:rsid w:val="00AA7C21"/>
    <w:rsid w:val="00AA7C62"/>
    <w:rsid w:val="00AA7D74"/>
    <w:rsid w:val="00AA7E97"/>
    <w:rsid w:val="00AB01AF"/>
    <w:rsid w:val="00AB056F"/>
    <w:rsid w:val="00AB0718"/>
    <w:rsid w:val="00AB0765"/>
    <w:rsid w:val="00AB0EC8"/>
    <w:rsid w:val="00AB0F93"/>
    <w:rsid w:val="00AB0F9F"/>
    <w:rsid w:val="00AB10BA"/>
    <w:rsid w:val="00AB11BE"/>
    <w:rsid w:val="00AB12C7"/>
    <w:rsid w:val="00AB141C"/>
    <w:rsid w:val="00AB1856"/>
    <w:rsid w:val="00AB18CF"/>
    <w:rsid w:val="00AB19E5"/>
    <w:rsid w:val="00AB1B97"/>
    <w:rsid w:val="00AB1BF2"/>
    <w:rsid w:val="00AB216B"/>
    <w:rsid w:val="00AB2321"/>
    <w:rsid w:val="00AB2329"/>
    <w:rsid w:val="00AB2334"/>
    <w:rsid w:val="00AB238E"/>
    <w:rsid w:val="00AB25D5"/>
    <w:rsid w:val="00AB271D"/>
    <w:rsid w:val="00AB2865"/>
    <w:rsid w:val="00AB2D75"/>
    <w:rsid w:val="00AB300A"/>
    <w:rsid w:val="00AB31D4"/>
    <w:rsid w:val="00AB3380"/>
    <w:rsid w:val="00AB3383"/>
    <w:rsid w:val="00AB3613"/>
    <w:rsid w:val="00AB3637"/>
    <w:rsid w:val="00AB39F8"/>
    <w:rsid w:val="00AB3F19"/>
    <w:rsid w:val="00AB4145"/>
    <w:rsid w:val="00AB429C"/>
    <w:rsid w:val="00AB44C3"/>
    <w:rsid w:val="00AB4737"/>
    <w:rsid w:val="00AB4A4F"/>
    <w:rsid w:val="00AB4C40"/>
    <w:rsid w:val="00AB4E98"/>
    <w:rsid w:val="00AB4FCE"/>
    <w:rsid w:val="00AB507F"/>
    <w:rsid w:val="00AB5187"/>
    <w:rsid w:val="00AB5B1E"/>
    <w:rsid w:val="00AB5EF5"/>
    <w:rsid w:val="00AB60A3"/>
    <w:rsid w:val="00AB6107"/>
    <w:rsid w:val="00AB6311"/>
    <w:rsid w:val="00AB647A"/>
    <w:rsid w:val="00AB651F"/>
    <w:rsid w:val="00AB6729"/>
    <w:rsid w:val="00AB67B6"/>
    <w:rsid w:val="00AB68D6"/>
    <w:rsid w:val="00AB6CA1"/>
    <w:rsid w:val="00AB6FC7"/>
    <w:rsid w:val="00AB7373"/>
    <w:rsid w:val="00AB7C3D"/>
    <w:rsid w:val="00AB7CF6"/>
    <w:rsid w:val="00AB7F0C"/>
    <w:rsid w:val="00AC0176"/>
    <w:rsid w:val="00AC0316"/>
    <w:rsid w:val="00AC071E"/>
    <w:rsid w:val="00AC0A57"/>
    <w:rsid w:val="00AC0F03"/>
    <w:rsid w:val="00AC14A4"/>
    <w:rsid w:val="00AC174D"/>
    <w:rsid w:val="00AC175B"/>
    <w:rsid w:val="00AC1DD8"/>
    <w:rsid w:val="00AC2158"/>
    <w:rsid w:val="00AC238A"/>
    <w:rsid w:val="00AC23D0"/>
    <w:rsid w:val="00AC29FC"/>
    <w:rsid w:val="00AC2CA7"/>
    <w:rsid w:val="00AC3B16"/>
    <w:rsid w:val="00AC3E35"/>
    <w:rsid w:val="00AC403E"/>
    <w:rsid w:val="00AC420D"/>
    <w:rsid w:val="00AC42F4"/>
    <w:rsid w:val="00AC444D"/>
    <w:rsid w:val="00AC4B04"/>
    <w:rsid w:val="00AC4B1B"/>
    <w:rsid w:val="00AC4D7B"/>
    <w:rsid w:val="00AC510D"/>
    <w:rsid w:val="00AC589B"/>
    <w:rsid w:val="00AC5A58"/>
    <w:rsid w:val="00AC62E1"/>
    <w:rsid w:val="00AC649D"/>
    <w:rsid w:val="00AC6698"/>
    <w:rsid w:val="00AC683E"/>
    <w:rsid w:val="00AC6858"/>
    <w:rsid w:val="00AC6876"/>
    <w:rsid w:val="00AC6CCA"/>
    <w:rsid w:val="00AC6F05"/>
    <w:rsid w:val="00AC6F1F"/>
    <w:rsid w:val="00AC6F35"/>
    <w:rsid w:val="00AC6FA2"/>
    <w:rsid w:val="00AC6FB7"/>
    <w:rsid w:val="00AC71B5"/>
    <w:rsid w:val="00AC7383"/>
    <w:rsid w:val="00AC7591"/>
    <w:rsid w:val="00AC77B2"/>
    <w:rsid w:val="00AC785A"/>
    <w:rsid w:val="00AC7871"/>
    <w:rsid w:val="00AC7B14"/>
    <w:rsid w:val="00AD01F5"/>
    <w:rsid w:val="00AD0378"/>
    <w:rsid w:val="00AD0482"/>
    <w:rsid w:val="00AD116F"/>
    <w:rsid w:val="00AD1571"/>
    <w:rsid w:val="00AD17FE"/>
    <w:rsid w:val="00AD1DE9"/>
    <w:rsid w:val="00AD1E68"/>
    <w:rsid w:val="00AD2127"/>
    <w:rsid w:val="00AD2213"/>
    <w:rsid w:val="00AD2580"/>
    <w:rsid w:val="00AD2993"/>
    <w:rsid w:val="00AD31B3"/>
    <w:rsid w:val="00AD35C9"/>
    <w:rsid w:val="00AD36B2"/>
    <w:rsid w:val="00AD38DF"/>
    <w:rsid w:val="00AD3DCA"/>
    <w:rsid w:val="00AD3E35"/>
    <w:rsid w:val="00AD4082"/>
    <w:rsid w:val="00AD42E6"/>
    <w:rsid w:val="00AD43E9"/>
    <w:rsid w:val="00AD44AA"/>
    <w:rsid w:val="00AD4B13"/>
    <w:rsid w:val="00AD4EB0"/>
    <w:rsid w:val="00AD5198"/>
    <w:rsid w:val="00AD54E6"/>
    <w:rsid w:val="00AD580C"/>
    <w:rsid w:val="00AD5A28"/>
    <w:rsid w:val="00AD5C7D"/>
    <w:rsid w:val="00AD5D1E"/>
    <w:rsid w:val="00AD5F70"/>
    <w:rsid w:val="00AD60D0"/>
    <w:rsid w:val="00AD6317"/>
    <w:rsid w:val="00AD636D"/>
    <w:rsid w:val="00AD645F"/>
    <w:rsid w:val="00AD652F"/>
    <w:rsid w:val="00AD6847"/>
    <w:rsid w:val="00AD6B01"/>
    <w:rsid w:val="00AD6FA2"/>
    <w:rsid w:val="00AD703F"/>
    <w:rsid w:val="00AD75F5"/>
    <w:rsid w:val="00AD7946"/>
    <w:rsid w:val="00AD7A1E"/>
    <w:rsid w:val="00AD7AB1"/>
    <w:rsid w:val="00AD7B84"/>
    <w:rsid w:val="00AD7F55"/>
    <w:rsid w:val="00AE003C"/>
    <w:rsid w:val="00AE0C6D"/>
    <w:rsid w:val="00AE0D7C"/>
    <w:rsid w:val="00AE0DA0"/>
    <w:rsid w:val="00AE0DF1"/>
    <w:rsid w:val="00AE0E59"/>
    <w:rsid w:val="00AE1076"/>
    <w:rsid w:val="00AE118E"/>
    <w:rsid w:val="00AE1317"/>
    <w:rsid w:val="00AE1577"/>
    <w:rsid w:val="00AE18E4"/>
    <w:rsid w:val="00AE1CD7"/>
    <w:rsid w:val="00AE2270"/>
    <w:rsid w:val="00AE2816"/>
    <w:rsid w:val="00AE29D9"/>
    <w:rsid w:val="00AE2E1B"/>
    <w:rsid w:val="00AE32E9"/>
    <w:rsid w:val="00AE37B9"/>
    <w:rsid w:val="00AE3910"/>
    <w:rsid w:val="00AE39BD"/>
    <w:rsid w:val="00AE4064"/>
    <w:rsid w:val="00AE40E2"/>
    <w:rsid w:val="00AE4108"/>
    <w:rsid w:val="00AE41F7"/>
    <w:rsid w:val="00AE48C2"/>
    <w:rsid w:val="00AE4CAD"/>
    <w:rsid w:val="00AE501A"/>
    <w:rsid w:val="00AE546F"/>
    <w:rsid w:val="00AE556E"/>
    <w:rsid w:val="00AE5667"/>
    <w:rsid w:val="00AE5B5C"/>
    <w:rsid w:val="00AE5B68"/>
    <w:rsid w:val="00AE5E8E"/>
    <w:rsid w:val="00AE6086"/>
    <w:rsid w:val="00AE621E"/>
    <w:rsid w:val="00AE640D"/>
    <w:rsid w:val="00AE681F"/>
    <w:rsid w:val="00AE6850"/>
    <w:rsid w:val="00AE7045"/>
    <w:rsid w:val="00AE7057"/>
    <w:rsid w:val="00AE7A78"/>
    <w:rsid w:val="00AE7E6E"/>
    <w:rsid w:val="00AF0481"/>
    <w:rsid w:val="00AF054C"/>
    <w:rsid w:val="00AF057A"/>
    <w:rsid w:val="00AF0968"/>
    <w:rsid w:val="00AF0B6D"/>
    <w:rsid w:val="00AF0CF1"/>
    <w:rsid w:val="00AF0D2B"/>
    <w:rsid w:val="00AF0E2B"/>
    <w:rsid w:val="00AF0EF4"/>
    <w:rsid w:val="00AF12FA"/>
    <w:rsid w:val="00AF13C6"/>
    <w:rsid w:val="00AF159E"/>
    <w:rsid w:val="00AF15E9"/>
    <w:rsid w:val="00AF1677"/>
    <w:rsid w:val="00AF1F76"/>
    <w:rsid w:val="00AF208F"/>
    <w:rsid w:val="00AF209C"/>
    <w:rsid w:val="00AF22A1"/>
    <w:rsid w:val="00AF2305"/>
    <w:rsid w:val="00AF2489"/>
    <w:rsid w:val="00AF2620"/>
    <w:rsid w:val="00AF26A5"/>
    <w:rsid w:val="00AF28B7"/>
    <w:rsid w:val="00AF2AC7"/>
    <w:rsid w:val="00AF2B23"/>
    <w:rsid w:val="00AF2F2A"/>
    <w:rsid w:val="00AF3048"/>
    <w:rsid w:val="00AF3054"/>
    <w:rsid w:val="00AF30F1"/>
    <w:rsid w:val="00AF3137"/>
    <w:rsid w:val="00AF315B"/>
    <w:rsid w:val="00AF33DB"/>
    <w:rsid w:val="00AF379E"/>
    <w:rsid w:val="00AF3979"/>
    <w:rsid w:val="00AF3996"/>
    <w:rsid w:val="00AF3D78"/>
    <w:rsid w:val="00AF408A"/>
    <w:rsid w:val="00AF43E7"/>
    <w:rsid w:val="00AF4409"/>
    <w:rsid w:val="00AF465D"/>
    <w:rsid w:val="00AF4750"/>
    <w:rsid w:val="00AF4A5A"/>
    <w:rsid w:val="00AF4CF8"/>
    <w:rsid w:val="00AF5203"/>
    <w:rsid w:val="00AF559C"/>
    <w:rsid w:val="00AF5869"/>
    <w:rsid w:val="00AF64A7"/>
    <w:rsid w:val="00AF7147"/>
    <w:rsid w:val="00AF7606"/>
    <w:rsid w:val="00AF77A4"/>
    <w:rsid w:val="00AF7886"/>
    <w:rsid w:val="00AF7E26"/>
    <w:rsid w:val="00AF7EB2"/>
    <w:rsid w:val="00B009FB"/>
    <w:rsid w:val="00B00D47"/>
    <w:rsid w:val="00B00F25"/>
    <w:rsid w:val="00B0152A"/>
    <w:rsid w:val="00B015B6"/>
    <w:rsid w:val="00B01632"/>
    <w:rsid w:val="00B021F7"/>
    <w:rsid w:val="00B027E9"/>
    <w:rsid w:val="00B0293C"/>
    <w:rsid w:val="00B02A4F"/>
    <w:rsid w:val="00B02D22"/>
    <w:rsid w:val="00B02EE7"/>
    <w:rsid w:val="00B03082"/>
    <w:rsid w:val="00B031B3"/>
    <w:rsid w:val="00B034A3"/>
    <w:rsid w:val="00B03598"/>
    <w:rsid w:val="00B036ED"/>
    <w:rsid w:val="00B037A0"/>
    <w:rsid w:val="00B0393B"/>
    <w:rsid w:val="00B03961"/>
    <w:rsid w:val="00B03AB3"/>
    <w:rsid w:val="00B04466"/>
    <w:rsid w:val="00B044BE"/>
    <w:rsid w:val="00B04551"/>
    <w:rsid w:val="00B04791"/>
    <w:rsid w:val="00B04823"/>
    <w:rsid w:val="00B051C5"/>
    <w:rsid w:val="00B059B6"/>
    <w:rsid w:val="00B05A31"/>
    <w:rsid w:val="00B05A87"/>
    <w:rsid w:val="00B05B11"/>
    <w:rsid w:val="00B05F59"/>
    <w:rsid w:val="00B068D9"/>
    <w:rsid w:val="00B069CB"/>
    <w:rsid w:val="00B06A5B"/>
    <w:rsid w:val="00B06F23"/>
    <w:rsid w:val="00B0765D"/>
    <w:rsid w:val="00B077DA"/>
    <w:rsid w:val="00B079CB"/>
    <w:rsid w:val="00B10216"/>
    <w:rsid w:val="00B10254"/>
    <w:rsid w:val="00B10459"/>
    <w:rsid w:val="00B105BB"/>
    <w:rsid w:val="00B10936"/>
    <w:rsid w:val="00B10A3A"/>
    <w:rsid w:val="00B10BA5"/>
    <w:rsid w:val="00B10FF7"/>
    <w:rsid w:val="00B11874"/>
    <w:rsid w:val="00B12440"/>
    <w:rsid w:val="00B12688"/>
    <w:rsid w:val="00B12FC2"/>
    <w:rsid w:val="00B13003"/>
    <w:rsid w:val="00B1356B"/>
    <w:rsid w:val="00B13968"/>
    <w:rsid w:val="00B139FB"/>
    <w:rsid w:val="00B13C2A"/>
    <w:rsid w:val="00B13D33"/>
    <w:rsid w:val="00B141D7"/>
    <w:rsid w:val="00B146BD"/>
    <w:rsid w:val="00B14810"/>
    <w:rsid w:val="00B15274"/>
    <w:rsid w:val="00B1552C"/>
    <w:rsid w:val="00B155B5"/>
    <w:rsid w:val="00B15667"/>
    <w:rsid w:val="00B15A0E"/>
    <w:rsid w:val="00B15E6C"/>
    <w:rsid w:val="00B163CF"/>
    <w:rsid w:val="00B165D2"/>
    <w:rsid w:val="00B16A96"/>
    <w:rsid w:val="00B16B50"/>
    <w:rsid w:val="00B16E13"/>
    <w:rsid w:val="00B17023"/>
    <w:rsid w:val="00B17069"/>
    <w:rsid w:val="00B1722E"/>
    <w:rsid w:val="00B17275"/>
    <w:rsid w:val="00B179BD"/>
    <w:rsid w:val="00B17E54"/>
    <w:rsid w:val="00B2038E"/>
    <w:rsid w:val="00B207AE"/>
    <w:rsid w:val="00B20A0C"/>
    <w:rsid w:val="00B20CB3"/>
    <w:rsid w:val="00B20D37"/>
    <w:rsid w:val="00B20D9C"/>
    <w:rsid w:val="00B20E88"/>
    <w:rsid w:val="00B21079"/>
    <w:rsid w:val="00B21375"/>
    <w:rsid w:val="00B214D2"/>
    <w:rsid w:val="00B21575"/>
    <w:rsid w:val="00B216F8"/>
    <w:rsid w:val="00B217E9"/>
    <w:rsid w:val="00B21B6B"/>
    <w:rsid w:val="00B21D6B"/>
    <w:rsid w:val="00B21F00"/>
    <w:rsid w:val="00B22390"/>
    <w:rsid w:val="00B2245F"/>
    <w:rsid w:val="00B22869"/>
    <w:rsid w:val="00B23024"/>
    <w:rsid w:val="00B2345E"/>
    <w:rsid w:val="00B2347C"/>
    <w:rsid w:val="00B2375D"/>
    <w:rsid w:val="00B24155"/>
    <w:rsid w:val="00B241A8"/>
    <w:rsid w:val="00B24582"/>
    <w:rsid w:val="00B247D8"/>
    <w:rsid w:val="00B2487F"/>
    <w:rsid w:val="00B24D44"/>
    <w:rsid w:val="00B252A4"/>
    <w:rsid w:val="00B25387"/>
    <w:rsid w:val="00B258D6"/>
    <w:rsid w:val="00B25A1F"/>
    <w:rsid w:val="00B26038"/>
    <w:rsid w:val="00B26943"/>
    <w:rsid w:val="00B269C6"/>
    <w:rsid w:val="00B26F80"/>
    <w:rsid w:val="00B27225"/>
    <w:rsid w:val="00B27244"/>
    <w:rsid w:val="00B27549"/>
    <w:rsid w:val="00B275A8"/>
    <w:rsid w:val="00B27834"/>
    <w:rsid w:val="00B27B21"/>
    <w:rsid w:val="00B27DD0"/>
    <w:rsid w:val="00B30323"/>
    <w:rsid w:val="00B307D7"/>
    <w:rsid w:val="00B3082D"/>
    <w:rsid w:val="00B30B8B"/>
    <w:rsid w:val="00B3123F"/>
    <w:rsid w:val="00B313F5"/>
    <w:rsid w:val="00B31511"/>
    <w:rsid w:val="00B31AE6"/>
    <w:rsid w:val="00B31AEE"/>
    <w:rsid w:val="00B31C64"/>
    <w:rsid w:val="00B31C67"/>
    <w:rsid w:val="00B31CC6"/>
    <w:rsid w:val="00B32513"/>
    <w:rsid w:val="00B32AD4"/>
    <w:rsid w:val="00B32CDF"/>
    <w:rsid w:val="00B32D24"/>
    <w:rsid w:val="00B333FD"/>
    <w:rsid w:val="00B3381A"/>
    <w:rsid w:val="00B3389B"/>
    <w:rsid w:val="00B338E4"/>
    <w:rsid w:val="00B339FB"/>
    <w:rsid w:val="00B33F8B"/>
    <w:rsid w:val="00B34075"/>
    <w:rsid w:val="00B340EF"/>
    <w:rsid w:val="00B342A2"/>
    <w:rsid w:val="00B347C7"/>
    <w:rsid w:val="00B349E4"/>
    <w:rsid w:val="00B34A51"/>
    <w:rsid w:val="00B34A8F"/>
    <w:rsid w:val="00B34EDC"/>
    <w:rsid w:val="00B34F0B"/>
    <w:rsid w:val="00B34FE3"/>
    <w:rsid w:val="00B350AD"/>
    <w:rsid w:val="00B35169"/>
    <w:rsid w:val="00B3548A"/>
    <w:rsid w:val="00B3548D"/>
    <w:rsid w:val="00B355C2"/>
    <w:rsid w:val="00B359DB"/>
    <w:rsid w:val="00B35E2F"/>
    <w:rsid w:val="00B365CF"/>
    <w:rsid w:val="00B36F83"/>
    <w:rsid w:val="00B3700E"/>
    <w:rsid w:val="00B3733E"/>
    <w:rsid w:val="00B37F1C"/>
    <w:rsid w:val="00B400DA"/>
    <w:rsid w:val="00B402C4"/>
    <w:rsid w:val="00B40A30"/>
    <w:rsid w:val="00B40EE6"/>
    <w:rsid w:val="00B40F65"/>
    <w:rsid w:val="00B410AB"/>
    <w:rsid w:val="00B413D2"/>
    <w:rsid w:val="00B41451"/>
    <w:rsid w:val="00B4156F"/>
    <w:rsid w:val="00B418FC"/>
    <w:rsid w:val="00B41E89"/>
    <w:rsid w:val="00B41EAC"/>
    <w:rsid w:val="00B426B4"/>
    <w:rsid w:val="00B42799"/>
    <w:rsid w:val="00B42C7F"/>
    <w:rsid w:val="00B42CD8"/>
    <w:rsid w:val="00B42D80"/>
    <w:rsid w:val="00B42DD4"/>
    <w:rsid w:val="00B42F50"/>
    <w:rsid w:val="00B43452"/>
    <w:rsid w:val="00B43965"/>
    <w:rsid w:val="00B445CF"/>
    <w:rsid w:val="00B4471B"/>
    <w:rsid w:val="00B44DC2"/>
    <w:rsid w:val="00B44FC0"/>
    <w:rsid w:val="00B4549D"/>
    <w:rsid w:val="00B4558B"/>
    <w:rsid w:val="00B4570A"/>
    <w:rsid w:val="00B45A5A"/>
    <w:rsid w:val="00B45B5D"/>
    <w:rsid w:val="00B465F3"/>
    <w:rsid w:val="00B46C1D"/>
    <w:rsid w:val="00B46C72"/>
    <w:rsid w:val="00B4700E"/>
    <w:rsid w:val="00B47161"/>
    <w:rsid w:val="00B47438"/>
    <w:rsid w:val="00B47829"/>
    <w:rsid w:val="00B4784F"/>
    <w:rsid w:val="00B47AEC"/>
    <w:rsid w:val="00B50C58"/>
    <w:rsid w:val="00B50D4A"/>
    <w:rsid w:val="00B50F3B"/>
    <w:rsid w:val="00B50F82"/>
    <w:rsid w:val="00B517B7"/>
    <w:rsid w:val="00B526BC"/>
    <w:rsid w:val="00B52AC1"/>
    <w:rsid w:val="00B52C50"/>
    <w:rsid w:val="00B539EF"/>
    <w:rsid w:val="00B53A66"/>
    <w:rsid w:val="00B53B0C"/>
    <w:rsid w:val="00B53B90"/>
    <w:rsid w:val="00B546B0"/>
    <w:rsid w:val="00B549B4"/>
    <w:rsid w:val="00B54A95"/>
    <w:rsid w:val="00B54B6A"/>
    <w:rsid w:val="00B54CBB"/>
    <w:rsid w:val="00B54D65"/>
    <w:rsid w:val="00B550A3"/>
    <w:rsid w:val="00B550B8"/>
    <w:rsid w:val="00B55821"/>
    <w:rsid w:val="00B5589F"/>
    <w:rsid w:val="00B559DC"/>
    <w:rsid w:val="00B55C5A"/>
    <w:rsid w:val="00B55D4E"/>
    <w:rsid w:val="00B55E3E"/>
    <w:rsid w:val="00B563AC"/>
    <w:rsid w:val="00B564AA"/>
    <w:rsid w:val="00B56693"/>
    <w:rsid w:val="00B56844"/>
    <w:rsid w:val="00B56A90"/>
    <w:rsid w:val="00B56CE3"/>
    <w:rsid w:val="00B56E20"/>
    <w:rsid w:val="00B56E8E"/>
    <w:rsid w:val="00B56E9A"/>
    <w:rsid w:val="00B56EAA"/>
    <w:rsid w:val="00B56F5C"/>
    <w:rsid w:val="00B5714D"/>
    <w:rsid w:val="00B57272"/>
    <w:rsid w:val="00B57683"/>
    <w:rsid w:val="00B576E9"/>
    <w:rsid w:val="00B57735"/>
    <w:rsid w:val="00B57771"/>
    <w:rsid w:val="00B578CF"/>
    <w:rsid w:val="00B57BAC"/>
    <w:rsid w:val="00B57FE7"/>
    <w:rsid w:val="00B602CF"/>
    <w:rsid w:val="00B604B3"/>
    <w:rsid w:val="00B60ACC"/>
    <w:rsid w:val="00B61097"/>
    <w:rsid w:val="00B61300"/>
    <w:rsid w:val="00B61883"/>
    <w:rsid w:val="00B61991"/>
    <w:rsid w:val="00B61A44"/>
    <w:rsid w:val="00B61CEB"/>
    <w:rsid w:val="00B62375"/>
    <w:rsid w:val="00B62839"/>
    <w:rsid w:val="00B62B1E"/>
    <w:rsid w:val="00B62D5D"/>
    <w:rsid w:val="00B6334D"/>
    <w:rsid w:val="00B635C8"/>
    <w:rsid w:val="00B63785"/>
    <w:rsid w:val="00B63965"/>
    <w:rsid w:val="00B6400A"/>
    <w:rsid w:val="00B6403F"/>
    <w:rsid w:val="00B64266"/>
    <w:rsid w:val="00B64D40"/>
    <w:rsid w:val="00B64E40"/>
    <w:rsid w:val="00B64F78"/>
    <w:rsid w:val="00B65164"/>
    <w:rsid w:val="00B651F1"/>
    <w:rsid w:val="00B6535E"/>
    <w:rsid w:val="00B65592"/>
    <w:rsid w:val="00B657C3"/>
    <w:rsid w:val="00B65B9F"/>
    <w:rsid w:val="00B665E2"/>
    <w:rsid w:val="00B6727B"/>
    <w:rsid w:val="00B6737A"/>
    <w:rsid w:val="00B67792"/>
    <w:rsid w:val="00B67BEB"/>
    <w:rsid w:val="00B67C4A"/>
    <w:rsid w:val="00B67DFD"/>
    <w:rsid w:val="00B67E47"/>
    <w:rsid w:val="00B703EA"/>
    <w:rsid w:val="00B70687"/>
    <w:rsid w:val="00B70775"/>
    <w:rsid w:val="00B70DFF"/>
    <w:rsid w:val="00B70EF5"/>
    <w:rsid w:val="00B7147A"/>
    <w:rsid w:val="00B7189A"/>
    <w:rsid w:val="00B71919"/>
    <w:rsid w:val="00B71B70"/>
    <w:rsid w:val="00B71E60"/>
    <w:rsid w:val="00B71F41"/>
    <w:rsid w:val="00B72600"/>
    <w:rsid w:val="00B72C34"/>
    <w:rsid w:val="00B72CB2"/>
    <w:rsid w:val="00B72CEF"/>
    <w:rsid w:val="00B72DBC"/>
    <w:rsid w:val="00B72F63"/>
    <w:rsid w:val="00B72F73"/>
    <w:rsid w:val="00B72FF5"/>
    <w:rsid w:val="00B73158"/>
    <w:rsid w:val="00B734A3"/>
    <w:rsid w:val="00B738FB"/>
    <w:rsid w:val="00B73C31"/>
    <w:rsid w:val="00B73CC3"/>
    <w:rsid w:val="00B73E33"/>
    <w:rsid w:val="00B73FDA"/>
    <w:rsid w:val="00B741AE"/>
    <w:rsid w:val="00B741D7"/>
    <w:rsid w:val="00B742BD"/>
    <w:rsid w:val="00B74428"/>
    <w:rsid w:val="00B746A0"/>
    <w:rsid w:val="00B74C0A"/>
    <w:rsid w:val="00B74D01"/>
    <w:rsid w:val="00B753F6"/>
    <w:rsid w:val="00B7543A"/>
    <w:rsid w:val="00B755E4"/>
    <w:rsid w:val="00B75731"/>
    <w:rsid w:val="00B7583E"/>
    <w:rsid w:val="00B7599E"/>
    <w:rsid w:val="00B75A21"/>
    <w:rsid w:val="00B75C96"/>
    <w:rsid w:val="00B75CFF"/>
    <w:rsid w:val="00B76016"/>
    <w:rsid w:val="00B764C5"/>
    <w:rsid w:val="00B76743"/>
    <w:rsid w:val="00B76882"/>
    <w:rsid w:val="00B768D0"/>
    <w:rsid w:val="00B76A60"/>
    <w:rsid w:val="00B76B1B"/>
    <w:rsid w:val="00B76BB2"/>
    <w:rsid w:val="00B76D04"/>
    <w:rsid w:val="00B770FC"/>
    <w:rsid w:val="00B77475"/>
    <w:rsid w:val="00B77B90"/>
    <w:rsid w:val="00B77CBB"/>
    <w:rsid w:val="00B80090"/>
    <w:rsid w:val="00B802B1"/>
    <w:rsid w:val="00B805DF"/>
    <w:rsid w:val="00B80A6A"/>
    <w:rsid w:val="00B80B76"/>
    <w:rsid w:val="00B80B7B"/>
    <w:rsid w:val="00B80D32"/>
    <w:rsid w:val="00B80DA7"/>
    <w:rsid w:val="00B80DCA"/>
    <w:rsid w:val="00B80F0F"/>
    <w:rsid w:val="00B810F0"/>
    <w:rsid w:val="00B81110"/>
    <w:rsid w:val="00B8114A"/>
    <w:rsid w:val="00B81378"/>
    <w:rsid w:val="00B8147D"/>
    <w:rsid w:val="00B817F1"/>
    <w:rsid w:val="00B8200D"/>
    <w:rsid w:val="00B82EFF"/>
    <w:rsid w:val="00B82F39"/>
    <w:rsid w:val="00B8305C"/>
    <w:rsid w:val="00B830FB"/>
    <w:rsid w:val="00B833CA"/>
    <w:rsid w:val="00B8362D"/>
    <w:rsid w:val="00B8379C"/>
    <w:rsid w:val="00B83D51"/>
    <w:rsid w:val="00B84052"/>
    <w:rsid w:val="00B8424A"/>
    <w:rsid w:val="00B84840"/>
    <w:rsid w:val="00B849EE"/>
    <w:rsid w:val="00B849F3"/>
    <w:rsid w:val="00B84D58"/>
    <w:rsid w:val="00B84FFF"/>
    <w:rsid w:val="00B8502A"/>
    <w:rsid w:val="00B8508E"/>
    <w:rsid w:val="00B851DD"/>
    <w:rsid w:val="00B857AA"/>
    <w:rsid w:val="00B85821"/>
    <w:rsid w:val="00B8585A"/>
    <w:rsid w:val="00B858C8"/>
    <w:rsid w:val="00B85A13"/>
    <w:rsid w:val="00B85C03"/>
    <w:rsid w:val="00B85DC7"/>
    <w:rsid w:val="00B85ED7"/>
    <w:rsid w:val="00B85F11"/>
    <w:rsid w:val="00B8687B"/>
    <w:rsid w:val="00B86ABE"/>
    <w:rsid w:val="00B87C21"/>
    <w:rsid w:val="00B90060"/>
    <w:rsid w:val="00B900D3"/>
    <w:rsid w:val="00B90352"/>
    <w:rsid w:val="00B90427"/>
    <w:rsid w:val="00B90492"/>
    <w:rsid w:val="00B90ABF"/>
    <w:rsid w:val="00B90AFA"/>
    <w:rsid w:val="00B90EB5"/>
    <w:rsid w:val="00B90F76"/>
    <w:rsid w:val="00B9101F"/>
    <w:rsid w:val="00B9181B"/>
    <w:rsid w:val="00B91DD5"/>
    <w:rsid w:val="00B91EB3"/>
    <w:rsid w:val="00B91F87"/>
    <w:rsid w:val="00B92393"/>
    <w:rsid w:val="00B924E8"/>
    <w:rsid w:val="00B928FB"/>
    <w:rsid w:val="00B92CAB"/>
    <w:rsid w:val="00B93472"/>
    <w:rsid w:val="00B9363D"/>
    <w:rsid w:val="00B93677"/>
    <w:rsid w:val="00B94043"/>
    <w:rsid w:val="00B9405F"/>
    <w:rsid w:val="00B9426D"/>
    <w:rsid w:val="00B9443D"/>
    <w:rsid w:val="00B946A7"/>
    <w:rsid w:val="00B94782"/>
    <w:rsid w:val="00B95474"/>
    <w:rsid w:val="00B95671"/>
    <w:rsid w:val="00B957D8"/>
    <w:rsid w:val="00B9599D"/>
    <w:rsid w:val="00B95EC9"/>
    <w:rsid w:val="00B95F8B"/>
    <w:rsid w:val="00B9601C"/>
    <w:rsid w:val="00B96040"/>
    <w:rsid w:val="00B963E4"/>
    <w:rsid w:val="00B96877"/>
    <w:rsid w:val="00B96989"/>
    <w:rsid w:val="00B96ABD"/>
    <w:rsid w:val="00B96ACB"/>
    <w:rsid w:val="00B97172"/>
    <w:rsid w:val="00B97531"/>
    <w:rsid w:val="00B97633"/>
    <w:rsid w:val="00B97D0B"/>
    <w:rsid w:val="00BA008E"/>
    <w:rsid w:val="00BA0972"/>
    <w:rsid w:val="00BA0E5B"/>
    <w:rsid w:val="00BA0EF3"/>
    <w:rsid w:val="00BA1000"/>
    <w:rsid w:val="00BA104C"/>
    <w:rsid w:val="00BA10B9"/>
    <w:rsid w:val="00BA14BD"/>
    <w:rsid w:val="00BA16DC"/>
    <w:rsid w:val="00BA179B"/>
    <w:rsid w:val="00BA1933"/>
    <w:rsid w:val="00BA19BF"/>
    <w:rsid w:val="00BA1A9D"/>
    <w:rsid w:val="00BA1D28"/>
    <w:rsid w:val="00BA1D7F"/>
    <w:rsid w:val="00BA2439"/>
    <w:rsid w:val="00BA26D7"/>
    <w:rsid w:val="00BA283A"/>
    <w:rsid w:val="00BA2BE6"/>
    <w:rsid w:val="00BA2D6E"/>
    <w:rsid w:val="00BA2E54"/>
    <w:rsid w:val="00BA2E94"/>
    <w:rsid w:val="00BA300A"/>
    <w:rsid w:val="00BA307F"/>
    <w:rsid w:val="00BA3300"/>
    <w:rsid w:val="00BA33BC"/>
    <w:rsid w:val="00BA363A"/>
    <w:rsid w:val="00BA3658"/>
    <w:rsid w:val="00BA4251"/>
    <w:rsid w:val="00BA4915"/>
    <w:rsid w:val="00BA4D32"/>
    <w:rsid w:val="00BA4FC2"/>
    <w:rsid w:val="00BA503C"/>
    <w:rsid w:val="00BA511E"/>
    <w:rsid w:val="00BA5396"/>
    <w:rsid w:val="00BA542B"/>
    <w:rsid w:val="00BA54B8"/>
    <w:rsid w:val="00BA562A"/>
    <w:rsid w:val="00BA5630"/>
    <w:rsid w:val="00BA59DD"/>
    <w:rsid w:val="00BA5E70"/>
    <w:rsid w:val="00BA5F71"/>
    <w:rsid w:val="00BA6064"/>
    <w:rsid w:val="00BA6534"/>
    <w:rsid w:val="00BA658E"/>
    <w:rsid w:val="00BA6A40"/>
    <w:rsid w:val="00BA7459"/>
    <w:rsid w:val="00BA74FA"/>
    <w:rsid w:val="00BA7711"/>
    <w:rsid w:val="00BA7AF1"/>
    <w:rsid w:val="00BA7C17"/>
    <w:rsid w:val="00BA7CCA"/>
    <w:rsid w:val="00BA7D22"/>
    <w:rsid w:val="00BB002E"/>
    <w:rsid w:val="00BB03CA"/>
    <w:rsid w:val="00BB0428"/>
    <w:rsid w:val="00BB0782"/>
    <w:rsid w:val="00BB0C77"/>
    <w:rsid w:val="00BB0D01"/>
    <w:rsid w:val="00BB0EA3"/>
    <w:rsid w:val="00BB0FD9"/>
    <w:rsid w:val="00BB122F"/>
    <w:rsid w:val="00BB131C"/>
    <w:rsid w:val="00BB1931"/>
    <w:rsid w:val="00BB1B54"/>
    <w:rsid w:val="00BB1D3B"/>
    <w:rsid w:val="00BB1FBA"/>
    <w:rsid w:val="00BB2815"/>
    <w:rsid w:val="00BB2A3E"/>
    <w:rsid w:val="00BB2A9F"/>
    <w:rsid w:val="00BB2D56"/>
    <w:rsid w:val="00BB2EA0"/>
    <w:rsid w:val="00BB307A"/>
    <w:rsid w:val="00BB34E9"/>
    <w:rsid w:val="00BB3550"/>
    <w:rsid w:val="00BB35C7"/>
    <w:rsid w:val="00BB3820"/>
    <w:rsid w:val="00BB3C57"/>
    <w:rsid w:val="00BB3EF2"/>
    <w:rsid w:val="00BB3FC6"/>
    <w:rsid w:val="00BB41E2"/>
    <w:rsid w:val="00BB4C09"/>
    <w:rsid w:val="00BB4C70"/>
    <w:rsid w:val="00BB50AB"/>
    <w:rsid w:val="00BB519E"/>
    <w:rsid w:val="00BB524C"/>
    <w:rsid w:val="00BB5252"/>
    <w:rsid w:val="00BB581D"/>
    <w:rsid w:val="00BB5C32"/>
    <w:rsid w:val="00BB5CD4"/>
    <w:rsid w:val="00BB5E89"/>
    <w:rsid w:val="00BB63AB"/>
    <w:rsid w:val="00BB66E8"/>
    <w:rsid w:val="00BB676B"/>
    <w:rsid w:val="00BB6A07"/>
    <w:rsid w:val="00BB6B60"/>
    <w:rsid w:val="00BB71A6"/>
    <w:rsid w:val="00BB73D0"/>
    <w:rsid w:val="00BB7568"/>
    <w:rsid w:val="00BB796B"/>
    <w:rsid w:val="00BB7BB8"/>
    <w:rsid w:val="00BB7C1D"/>
    <w:rsid w:val="00BB7CD8"/>
    <w:rsid w:val="00BB7D34"/>
    <w:rsid w:val="00BB7F52"/>
    <w:rsid w:val="00BC0024"/>
    <w:rsid w:val="00BC03AD"/>
    <w:rsid w:val="00BC0479"/>
    <w:rsid w:val="00BC0826"/>
    <w:rsid w:val="00BC0902"/>
    <w:rsid w:val="00BC0C7C"/>
    <w:rsid w:val="00BC0CC8"/>
    <w:rsid w:val="00BC1196"/>
    <w:rsid w:val="00BC1760"/>
    <w:rsid w:val="00BC197B"/>
    <w:rsid w:val="00BC1B6D"/>
    <w:rsid w:val="00BC229D"/>
    <w:rsid w:val="00BC25B8"/>
    <w:rsid w:val="00BC25F6"/>
    <w:rsid w:val="00BC26EA"/>
    <w:rsid w:val="00BC2730"/>
    <w:rsid w:val="00BC27C6"/>
    <w:rsid w:val="00BC283F"/>
    <w:rsid w:val="00BC2CCE"/>
    <w:rsid w:val="00BC2E19"/>
    <w:rsid w:val="00BC2F79"/>
    <w:rsid w:val="00BC317A"/>
    <w:rsid w:val="00BC37EA"/>
    <w:rsid w:val="00BC3B0E"/>
    <w:rsid w:val="00BC4046"/>
    <w:rsid w:val="00BC4069"/>
    <w:rsid w:val="00BC41AB"/>
    <w:rsid w:val="00BC4337"/>
    <w:rsid w:val="00BC4376"/>
    <w:rsid w:val="00BC449E"/>
    <w:rsid w:val="00BC5532"/>
    <w:rsid w:val="00BC5A5E"/>
    <w:rsid w:val="00BC5EF7"/>
    <w:rsid w:val="00BC6346"/>
    <w:rsid w:val="00BC676D"/>
    <w:rsid w:val="00BC6C08"/>
    <w:rsid w:val="00BC6F96"/>
    <w:rsid w:val="00BC6FE0"/>
    <w:rsid w:val="00BC74F2"/>
    <w:rsid w:val="00BC763E"/>
    <w:rsid w:val="00BC775E"/>
    <w:rsid w:val="00BC7F88"/>
    <w:rsid w:val="00BD0360"/>
    <w:rsid w:val="00BD055F"/>
    <w:rsid w:val="00BD059B"/>
    <w:rsid w:val="00BD05CC"/>
    <w:rsid w:val="00BD0726"/>
    <w:rsid w:val="00BD08BB"/>
    <w:rsid w:val="00BD0BD5"/>
    <w:rsid w:val="00BD0F9D"/>
    <w:rsid w:val="00BD14A6"/>
    <w:rsid w:val="00BD17BF"/>
    <w:rsid w:val="00BD17DF"/>
    <w:rsid w:val="00BD1826"/>
    <w:rsid w:val="00BD1962"/>
    <w:rsid w:val="00BD1A45"/>
    <w:rsid w:val="00BD2380"/>
    <w:rsid w:val="00BD2475"/>
    <w:rsid w:val="00BD2B67"/>
    <w:rsid w:val="00BD2DE7"/>
    <w:rsid w:val="00BD2FF0"/>
    <w:rsid w:val="00BD30A9"/>
    <w:rsid w:val="00BD30C8"/>
    <w:rsid w:val="00BD31F7"/>
    <w:rsid w:val="00BD340D"/>
    <w:rsid w:val="00BD381D"/>
    <w:rsid w:val="00BD39E1"/>
    <w:rsid w:val="00BD3DD9"/>
    <w:rsid w:val="00BD3ECE"/>
    <w:rsid w:val="00BD416C"/>
    <w:rsid w:val="00BD459C"/>
    <w:rsid w:val="00BD4689"/>
    <w:rsid w:val="00BD4811"/>
    <w:rsid w:val="00BD4A67"/>
    <w:rsid w:val="00BD4AA9"/>
    <w:rsid w:val="00BD4CBB"/>
    <w:rsid w:val="00BD5043"/>
    <w:rsid w:val="00BD5200"/>
    <w:rsid w:val="00BD5A0E"/>
    <w:rsid w:val="00BD5BB0"/>
    <w:rsid w:val="00BD5EFA"/>
    <w:rsid w:val="00BD6481"/>
    <w:rsid w:val="00BD65B2"/>
    <w:rsid w:val="00BD6637"/>
    <w:rsid w:val="00BD68D4"/>
    <w:rsid w:val="00BD6935"/>
    <w:rsid w:val="00BD6A8F"/>
    <w:rsid w:val="00BD6AD1"/>
    <w:rsid w:val="00BD6BEB"/>
    <w:rsid w:val="00BD6C31"/>
    <w:rsid w:val="00BD75ED"/>
    <w:rsid w:val="00BD77A8"/>
    <w:rsid w:val="00BE0547"/>
    <w:rsid w:val="00BE07F9"/>
    <w:rsid w:val="00BE089C"/>
    <w:rsid w:val="00BE0B51"/>
    <w:rsid w:val="00BE0D25"/>
    <w:rsid w:val="00BE0E4A"/>
    <w:rsid w:val="00BE19D1"/>
    <w:rsid w:val="00BE2162"/>
    <w:rsid w:val="00BE2570"/>
    <w:rsid w:val="00BE2B1F"/>
    <w:rsid w:val="00BE2DA8"/>
    <w:rsid w:val="00BE3081"/>
    <w:rsid w:val="00BE33F8"/>
    <w:rsid w:val="00BE37EF"/>
    <w:rsid w:val="00BE3B63"/>
    <w:rsid w:val="00BE4387"/>
    <w:rsid w:val="00BE4439"/>
    <w:rsid w:val="00BE47BA"/>
    <w:rsid w:val="00BE49C9"/>
    <w:rsid w:val="00BE4CD2"/>
    <w:rsid w:val="00BE4D24"/>
    <w:rsid w:val="00BE5084"/>
    <w:rsid w:val="00BE52AA"/>
    <w:rsid w:val="00BE5456"/>
    <w:rsid w:val="00BE5833"/>
    <w:rsid w:val="00BE5E42"/>
    <w:rsid w:val="00BE614C"/>
    <w:rsid w:val="00BE6696"/>
    <w:rsid w:val="00BE6D87"/>
    <w:rsid w:val="00BE6E00"/>
    <w:rsid w:val="00BE72DA"/>
    <w:rsid w:val="00BE731D"/>
    <w:rsid w:val="00BE7355"/>
    <w:rsid w:val="00BE7956"/>
    <w:rsid w:val="00BF01C8"/>
    <w:rsid w:val="00BF04F0"/>
    <w:rsid w:val="00BF06FC"/>
    <w:rsid w:val="00BF080D"/>
    <w:rsid w:val="00BF0BA6"/>
    <w:rsid w:val="00BF113F"/>
    <w:rsid w:val="00BF1150"/>
    <w:rsid w:val="00BF16D0"/>
    <w:rsid w:val="00BF1B28"/>
    <w:rsid w:val="00BF1E3C"/>
    <w:rsid w:val="00BF1F33"/>
    <w:rsid w:val="00BF21FC"/>
    <w:rsid w:val="00BF25F0"/>
    <w:rsid w:val="00BF27D1"/>
    <w:rsid w:val="00BF2B97"/>
    <w:rsid w:val="00BF2C83"/>
    <w:rsid w:val="00BF332F"/>
    <w:rsid w:val="00BF37AD"/>
    <w:rsid w:val="00BF39D9"/>
    <w:rsid w:val="00BF3BDF"/>
    <w:rsid w:val="00BF3C8A"/>
    <w:rsid w:val="00BF3E47"/>
    <w:rsid w:val="00BF3E9F"/>
    <w:rsid w:val="00BF400F"/>
    <w:rsid w:val="00BF4753"/>
    <w:rsid w:val="00BF4775"/>
    <w:rsid w:val="00BF477B"/>
    <w:rsid w:val="00BF4A70"/>
    <w:rsid w:val="00BF4E1C"/>
    <w:rsid w:val="00BF54C3"/>
    <w:rsid w:val="00BF56CC"/>
    <w:rsid w:val="00BF57A5"/>
    <w:rsid w:val="00BF5F0E"/>
    <w:rsid w:val="00BF611A"/>
    <w:rsid w:val="00BF61FE"/>
    <w:rsid w:val="00BF6527"/>
    <w:rsid w:val="00BF6882"/>
    <w:rsid w:val="00BF6BDA"/>
    <w:rsid w:val="00BF6C37"/>
    <w:rsid w:val="00BF6CAB"/>
    <w:rsid w:val="00BF722D"/>
    <w:rsid w:val="00BF7371"/>
    <w:rsid w:val="00BF75ED"/>
    <w:rsid w:val="00C00440"/>
    <w:rsid w:val="00C00619"/>
    <w:rsid w:val="00C00A23"/>
    <w:rsid w:val="00C00D13"/>
    <w:rsid w:val="00C00DDD"/>
    <w:rsid w:val="00C00EBF"/>
    <w:rsid w:val="00C01085"/>
    <w:rsid w:val="00C0122A"/>
    <w:rsid w:val="00C018A9"/>
    <w:rsid w:val="00C019D4"/>
    <w:rsid w:val="00C01A2B"/>
    <w:rsid w:val="00C0242B"/>
    <w:rsid w:val="00C02714"/>
    <w:rsid w:val="00C0273F"/>
    <w:rsid w:val="00C02943"/>
    <w:rsid w:val="00C02BEA"/>
    <w:rsid w:val="00C02C58"/>
    <w:rsid w:val="00C02EBE"/>
    <w:rsid w:val="00C02F0C"/>
    <w:rsid w:val="00C02F2F"/>
    <w:rsid w:val="00C03061"/>
    <w:rsid w:val="00C0309C"/>
    <w:rsid w:val="00C0318E"/>
    <w:rsid w:val="00C031CC"/>
    <w:rsid w:val="00C03BFE"/>
    <w:rsid w:val="00C03C03"/>
    <w:rsid w:val="00C03C3D"/>
    <w:rsid w:val="00C03EEA"/>
    <w:rsid w:val="00C03F77"/>
    <w:rsid w:val="00C04184"/>
    <w:rsid w:val="00C057BA"/>
    <w:rsid w:val="00C05AE3"/>
    <w:rsid w:val="00C06096"/>
    <w:rsid w:val="00C061CB"/>
    <w:rsid w:val="00C06A52"/>
    <w:rsid w:val="00C06AF5"/>
    <w:rsid w:val="00C06B19"/>
    <w:rsid w:val="00C06BED"/>
    <w:rsid w:val="00C06F75"/>
    <w:rsid w:val="00C06FD7"/>
    <w:rsid w:val="00C071ED"/>
    <w:rsid w:val="00C07491"/>
    <w:rsid w:val="00C07506"/>
    <w:rsid w:val="00C077EC"/>
    <w:rsid w:val="00C07FFE"/>
    <w:rsid w:val="00C10024"/>
    <w:rsid w:val="00C104E0"/>
    <w:rsid w:val="00C108C2"/>
    <w:rsid w:val="00C108D4"/>
    <w:rsid w:val="00C10EAA"/>
    <w:rsid w:val="00C1105C"/>
    <w:rsid w:val="00C110F0"/>
    <w:rsid w:val="00C11196"/>
    <w:rsid w:val="00C113A0"/>
    <w:rsid w:val="00C115A9"/>
    <w:rsid w:val="00C115B9"/>
    <w:rsid w:val="00C11C04"/>
    <w:rsid w:val="00C125DA"/>
    <w:rsid w:val="00C12768"/>
    <w:rsid w:val="00C127D9"/>
    <w:rsid w:val="00C12DA0"/>
    <w:rsid w:val="00C133B9"/>
    <w:rsid w:val="00C13430"/>
    <w:rsid w:val="00C135CE"/>
    <w:rsid w:val="00C13790"/>
    <w:rsid w:val="00C1385D"/>
    <w:rsid w:val="00C139D2"/>
    <w:rsid w:val="00C13F9D"/>
    <w:rsid w:val="00C147E1"/>
    <w:rsid w:val="00C14874"/>
    <w:rsid w:val="00C14A64"/>
    <w:rsid w:val="00C14CAD"/>
    <w:rsid w:val="00C14CC7"/>
    <w:rsid w:val="00C14D3C"/>
    <w:rsid w:val="00C14E7E"/>
    <w:rsid w:val="00C15AB2"/>
    <w:rsid w:val="00C15D2C"/>
    <w:rsid w:val="00C15D88"/>
    <w:rsid w:val="00C15E12"/>
    <w:rsid w:val="00C16111"/>
    <w:rsid w:val="00C161A9"/>
    <w:rsid w:val="00C164A2"/>
    <w:rsid w:val="00C164CF"/>
    <w:rsid w:val="00C164FF"/>
    <w:rsid w:val="00C16930"/>
    <w:rsid w:val="00C16EE3"/>
    <w:rsid w:val="00C16F13"/>
    <w:rsid w:val="00C170FE"/>
    <w:rsid w:val="00C17324"/>
    <w:rsid w:val="00C1748A"/>
    <w:rsid w:val="00C175C4"/>
    <w:rsid w:val="00C17DA0"/>
    <w:rsid w:val="00C17F43"/>
    <w:rsid w:val="00C17FEC"/>
    <w:rsid w:val="00C2022A"/>
    <w:rsid w:val="00C204C0"/>
    <w:rsid w:val="00C2086C"/>
    <w:rsid w:val="00C211AA"/>
    <w:rsid w:val="00C2157F"/>
    <w:rsid w:val="00C21591"/>
    <w:rsid w:val="00C21A22"/>
    <w:rsid w:val="00C22414"/>
    <w:rsid w:val="00C225FD"/>
    <w:rsid w:val="00C22DA1"/>
    <w:rsid w:val="00C23025"/>
    <w:rsid w:val="00C230BD"/>
    <w:rsid w:val="00C23145"/>
    <w:rsid w:val="00C23458"/>
    <w:rsid w:val="00C235B1"/>
    <w:rsid w:val="00C2372B"/>
    <w:rsid w:val="00C2379C"/>
    <w:rsid w:val="00C238EA"/>
    <w:rsid w:val="00C23C7C"/>
    <w:rsid w:val="00C23FBC"/>
    <w:rsid w:val="00C2414D"/>
    <w:rsid w:val="00C24500"/>
    <w:rsid w:val="00C24640"/>
    <w:rsid w:val="00C247C4"/>
    <w:rsid w:val="00C24866"/>
    <w:rsid w:val="00C24C3D"/>
    <w:rsid w:val="00C2516D"/>
    <w:rsid w:val="00C25213"/>
    <w:rsid w:val="00C25F17"/>
    <w:rsid w:val="00C26025"/>
    <w:rsid w:val="00C2656A"/>
    <w:rsid w:val="00C26C1E"/>
    <w:rsid w:val="00C26D02"/>
    <w:rsid w:val="00C2745A"/>
    <w:rsid w:val="00C275A3"/>
    <w:rsid w:val="00C27E2F"/>
    <w:rsid w:val="00C30010"/>
    <w:rsid w:val="00C30138"/>
    <w:rsid w:val="00C301FB"/>
    <w:rsid w:val="00C3027F"/>
    <w:rsid w:val="00C3031C"/>
    <w:rsid w:val="00C308E8"/>
    <w:rsid w:val="00C30951"/>
    <w:rsid w:val="00C30B51"/>
    <w:rsid w:val="00C3102C"/>
    <w:rsid w:val="00C3105D"/>
    <w:rsid w:val="00C3115B"/>
    <w:rsid w:val="00C313B9"/>
    <w:rsid w:val="00C31451"/>
    <w:rsid w:val="00C314D5"/>
    <w:rsid w:val="00C31508"/>
    <w:rsid w:val="00C318B8"/>
    <w:rsid w:val="00C31967"/>
    <w:rsid w:val="00C319E1"/>
    <w:rsid w:val="00C31ACD"/>
    <w:rsid w:val="00C31FAF"/>
    <w:rsid w:val="00C32323"/>
    <w:rsid w:val="00C32955"/>
    <w:rsid w:val="00C32BC1"/>
    <w:rsid w:val="00C32BCD"/>
    <w:rsid w:val="00C32E9D"/>
    <w:rsid w:val="00C32EE8"/>
    <w:rsid w:val="00C3383B"/>
    <w:rsid w:val="00C33FDB"/>
    <w:rsid w:val="00C34196"/>
    <w:rsid w:val="00C3444B"/>
    <w:rsid w:val="00C3455D"/>
    <w:rsid w:val="00C350FB"/>
    <w:rsid w:val="00C35594"/>
    <w:rsid w:val="00C357DA"/>
    <w:rsid w:val="00C3592D"/>
    <w:rsid w:val="00C359CE"/>
    <w:rsid w:val="00C35C31"/>
    <w:rsid w:val="00C35C61"/>
    <w:rsid w:val="00C36276"/>
    <w:rsid w:val="00C3642E"/>
    <w:rsid w:val="00C36621"/>
    <w:rsid w:val="00C36863"/>
    <w:rsid w:val="00C36950"/>
    <w:rsid w:val="00C36E23"/>
    <w:rsid w:val="00C36EC3"/>
    <w:rsid w:val="00C371FA"/>
    <w:rsid w:val="00C373DB"/>
    <w:rsid w:val="00C375DB"/>
    <w:rsid w:val="00C379A2"/>
    <w:rsid w:val="00C379BD"/>
    <w:rsid w:val="00C37A57"/>
    <w:rsid w:val="00C37E12"/>
    <w:rsid w:val="00C37F63"/>
    <w:rsid w:val="00C400C0"/>
    <w:rsid w:val="00C4025C"/>
    <w:rsid w:val="00C403DA"/>
    <w:rsid w:val="00C40491"/>
    <w:rsid w:val="00C40606"/>
    <w:rsid w:val="00C406FA"/>
    <w:rsid w:val="00C409FF"/>
    <w:rsid w:val="00C40BED"/>
    <w:rsid w:val="00C40E7B"/>
    <w:rsid w:val="00C40E92"/>
    <w:rsid w:val="00C41044"/>
    <w:rsid w:val="00C413F3"/>
    <w:rsid w:val="00C414B5"/>
    <w:rsid w:val="00C41C3C"/>
    <w:rsid w:val="00C41CCB"/>
    <w:rsid w:val="00C41CE3"/>
    <w:rsid w:val="00C41D43"/>
    <w:rsid w:val="00C41F4C"/>
    <w:rsid w:val="00C42693"/>
    <w:rsid w:val="00C42CC2"/>
    <w:rsid w:val="00C430CA"/>
    <w:rsid w:val="00C430D2"/>
    <w:rsid w:val="00C4320F"/>
    <w:rsid w:val="00C432E9"/>
    <w:rsid w:val="00C43431"/>
    <w:rsid w:val="00C43DCC"/>
    <w:rsid w:val="00C4405E"/>
    <w:rsid w:val="00C44071"/>
    <w:rsid w:val="00C447B8"/>
    <w:rsid w:val="00C448F7"/>
    <w:rsid w:val="00C44AAC"/>
    <w:rsid w:val="00C44C79"/>
    <w:rsid w:val="00C44D62"/>
    <w:rsid w:val="00C44DBF"/>
    <w:rsid w:val="00C450BD"/>
    <w:rsid w:val="00C4528F"/>
    <w:rsid w:val="00C455D3"/>
    <w:rsid w:val="00C4579D"/>
    <w:rsid w:val="00C45BA8"/>
    <w:rsid w:val="00C46175"/>
    <w:rsid w:val="00C4625A"/>
    <w:rsid w:val="00C462A8"/>
    <w:rsid w:val="00C46915"/>
    <w:rsid w:val="00C46A8A"/>
    <w:rsid w:val="00C46B6E"/>
    <w:rsid w:val="00C46C33"/>
    <w:rsid w:val="00C46C66"/>
    <w:rsid w:val="00C46F41"/>
    <w:rsid w:val="00C47266"/>
    <w:rsid w:val="00C47499"/>
    <w:rsid w:val="00C479FB"/>
    <w:rsid w:val="00C47A51"/>
    <w:rsid w:val="00C47A61"/>
    <w:rsid w:val="00C47AE3"/>
    <w:rsid w:val="00C47C85"/>
    <w:rsid w:val="00C47D63"/>
    <w:rsid w:val="00C47DA4"/>
    <w:rsid w:val="00C47F7B"/>
    <w:rsid w:val="00C50153"/>
    <w:rsid w:val="00C50244"/>
    <w:rsid w:val="00C50428"/>
    <w:rsid w:val="00C5059C"/>
    <w:rsid w:val="00C50C47"/>
    <w:rsid w:val="00C50DED"/>
    <w:rsid w:val="00C50E82"/>
    <w:rsid w:val="00C51A56"/>
    <w:rsid w:val="00C51A66"/>
    <w:rsid w:val="00C51AEB"/>
    <w:rsid w:val="00C51BE4"/>
    <w:rsid w:val="00C51D16"/>
    <w:rsid w:val="00C5235C"/>
    <w:rsid w:val="00C526AD"/>
    <w:rsid w:val="00C528CD"/>
    <w:rsid w:val="00C52D86"/>
    <w:rsid w:val="00C52F5F"/>
    <w:rsid w:val="00C533E4"/>
    <w:rsid w:val="00C53878"/>
    <w:rsid w:val="00C53D3E"/>
    <w:rsid w:val="00C5465D"/>
    <w:rsid w:val="00C551D6"/>
    <w:rsid w:val="00C55241"/>
    <w:rsid w:val="00C55B03"/>
    <w:rsid w:val="00C55B14"/>
    <w:rsid w:val="00C55C35"/>
    <w:rsid w:val="00C55DA6"/>
    <w:rsid w:val="00C56613"/>
    <w:rsid w:val="00C56B04"/>
    <w:rsid w:val="00C56BAC"/>
    <w:rsid w:val="00C56CAF"/>
    <w:rsid w:val="00C56CD0"/>
    <w:rsid w:val="00C5727B"/>
    <w:rsid w:val="00C5748D"/>
    <w:rsid w:val="00C57983"/>
    <w:rsid w:val="00C5799A"/>
    <w:rsid w:val="00C57B21"/>
    <w:rsid w:val="00C57DFB"/>
    <w:rsid w:val="00C57ECA"/>
    <w:rsid w:val="00C6045E"/>
    <w:rsid w:val="00C604AB"/>
    <w:rsid w:val="00C61146"/>
    <w:rsid w:val="00C612D6"/>
    <w:rsid w:val="00C6147C"/>
    <w:rsid w:val="00C615BD"/>
    <w:rsid w:val="00C61F72"/>
    <w:rsid w:val="00C621E9"/>
    <w:rsid w:val="00C626F7"/>
    <w:rsid w:val="00C6284C"/>
    <w:rsid w:val="00C628CA"/>
    <w:rsid w:val="00C62BFE"/>
    <w:rsid w:val="00C631A8"/>
    <w:rsid w:val="00C6373C"/>
    <w:rsid w:val="00C6374D"/>
    <w:rsid w:val="00C638AD"/>
    <w:rsid w:val="00C638B2"/>
    <w:rsid w:val="00C63940"/>
    <w:rsid w:val="00C63E6E"/>
    <w:rsid w:val="00C64099"/>
    <w:rsid w:val="00C64546"/>
    <w:rsid w:val="00C645D6"/>
    <w:rsid w:val="00C646D8"/>
    <w:rsid w:val="00C6473F"/>
    <w:rsid w:val="00C6490E"/>
    <w:rsid w:val="00C6512E"/>
    <w:rsid w:val="00C6522D"/>
    <w:rsid w:val="00C65441"/>
    <w:rsid w:val="00C654A6"/>
    <w:rsid w:val="00C6589B"/>
    <w:rsid w:val="00C658B0"/>
    <w:rsid w:val="00C65D3A"/>
    <w:rsid w:val="00C65FEA"/>
    <w:rsid w:val="00C66727"/>
    <w:rsid w:val="00C66880"/>
    <w:rsid w:val="00C66C37"/>
    <w:rsid w:val="00C66E4F"/>
    <w:rsid w:val="00C66FD2"/>
    <w:rsid w:val="00C670D6"/>
    <w:rsid w:val="00C674CB"/>
    <w:rsid w:val="00C675E7"/>
    <w:rsid w:val="00C67799"/>
    <w:rsid w:val="00C677CF"/>
    <w:rsid w:val="00C679B7"/>
    <w:rsid w:val="00C67A83"/>
    <w:rsid w:val="00C67BCE"/>
    <w:rsid w:val="00C70148"/>
    <w:rsid w:val="00C708ED"/>
    <w:rsid w:val="00C710C1"/>
    <w:rsid w:val="00C71455"/>
    <w:rsid w:val="00C7161D"/>
    <w:rsid w:val="00C716E4"/>
    <w:rsid w:val="00C7174F"/>
    <w:rsid w:val="00C7183F"/>
    <w:rsid w:val="00C71AA0"/>
    <w:rsid w:val="00C71BC3"/>
    <w:rsid w:val="00C71D27"/>
    <w:rsid w:val="00C71FD5"/>
    <w:rsid w:val="00C72011"/>
    <w:rsid w:val="00C72233"/>
    <w:rsid w:val="00C722E5"/>
    <w:rsid w:val="00C72474"/>
    <w:rsid w:val="00C72FA2"/>
    <w:rsid w:val="00C73543"/>
    <w:rsid w:val="00C7388D"/>
    <w:rsid w:val="00C739AE"/>
    <w:rsid w:val="00C73B48"/>
    <w:rsid w:val="00C73BAA"/>
    <w:rsid w:val="00C73C5F"/>
    <w:rsid w:val="00C7537A"/>
    <w:rsid w:val="00C756FA"/>
    <w:rsid w:val="00C75807"/>
    <w:rsid w:val="00C759D9"/>
    <w:rsid w:val="00C75A1B"/>
    <w:rsid w:val="00C76568"/>
    <w:rsid w:val="00C767B2"/>
    <w:rsid w:val="00C76AE6"/>
    <w:rsid w:val="00C76BFE"/>
    <w:rsid w:val="00C7713B"/>
    <w:rsid w:val="00C77141"/>
    <w:rsid w:val="00C7749A"/>
    <w:rsid w:val="00C7799C"/>
    <w:rsid w:val="00C77D4A"/>
    <w:rsid w:val="00C800B2"/>
    <w:rsid w:val="00C802B3"/>
    <w:rsid w:val="00C80980"/>
    <w:rsid w:val="00C80A80"/>
    <w:rsid w:val="00C80CA8"/>
    <w:rsid w:val="00C80D33"/>
    <w:rsid w:val="00C814FE"/>
    <w:rsid w:val="00C81723"/>
    <w:rsid w:val="00C817EB"/>
    <w:rsid w:val="00C81905"/>
    <w:rsid w:val="00C81F53"/>
    <w:rsid w:val="00C81FB7"/>
    <w:rsid w:val="00C81FC5"/>
    <w:rsid w:val="00C82113"/>
    <w:rsid w:val="00C82288"/>
    <w:rsid w:val="00C8232A"/>
    <w:rsid w:val="00C82345"/>
    <w:rsid w:val="00C827E2"/>
    <w:rsid w:val="00C82838"/>
    <w:rsid w:val="00C82A0F"/>
    <w:rsid w:val="00C82ADD"/>
    <w:rsid w:val="00C82DE5"/>
    <w:rsid w:val="00C83231"/>
    <w:rsid w:val="00C8353B"/>
    <w:rsid w:val="00C83937"/>
    <w:rsid w:val="00C8400C"/>
    <w:rsid w:val="00C842A4"/>
    <w:rsid w:val="00C847BD"/>
    <w:rsid w:val="00C8486E"/>
    <w:rsid w:val="00C84AB3"/>
    <w:rsid w:val="00C85154"/>
    <w:rsid w:val="00C851A8"/>
    <w:rsid w:val="00C85263"/>
    <w:rsid w:val="00C8567C"/>
    <w:rsid w:val="00C85C6C"/>
    <w:rsid w:val="00C85FD9"/>
    <w:rsid w:val="00C86B2F"/>
    <w:rsid w:val="00C86C70"/>
    <w:rsid w:val="00C86D6A"/>
    <w:rsid w:val="00C86ED4"/>
    <w:rsid w:val="00C874B8"/>
    <w:rsid w:val="00C87615"/>
    <w:rsid w:val="00C87672"/>
    <w:rsid w:val="00C87AA7"/>
    <w:rsid w:val="00C87BA5"/>
    <w:rsid w:val="00C87CFE"/>
    <w:rsid w:val="00C87D8D"/>
    <w:rsid w:val="00C87EC7"/>
    <w:rsid w:val="00C90241"/>
    <w:rsid w:val="00C90667"/>
    <w:rsid w:val="00C90B6E"/>
    <w:rsid w:val="00C90F91"/>
    <w:rsid w:val="00C914EA"/>
    <w:rsid w:val="00C91CC0"/>
    <w:rsid w:val="00C921E6"/>
    <w:rsid w:val="00C9240C"/>
    <w:rsid w:val="00C92429"/>
    <w:rsid w:val="00C92637"/>
    <w:rsid w:val="00C9267D"/>
    <w:rsid w:val="00C92911"/>
    <w:rsid w:val="00C92B35"/>
    <w:rsid w:val="00C92FC2"/>
    <w:rsid w:val="00C93019"/>
    <w:rsid w:val="00C930F3"/>
    <w:rsid w:val="00C93796"/>
    <w:rsid w:val="00C93D1B"/>
    <w:rsid w:val="00C93D2F"/>
    <w:rsid w:val="00C93D85"/>
    <w:rsid w:val="00C93D86"/>
    <w:rsid w:val="00C940BD"/>
    <w:rsid w:val="00C94894"/>
    <w:rsid w:val="00C94964"/>
    <w:rsid w:val="00C94C1A"/>
    <w:rsid w:val="00C94DD2"/>
    <w:rsid w:val="00C94E2F"/>
    <w:rsid w:val="00C94E47"/>
    <w:rsid w:val="00C950D7"/>
    <w:rsid w:val="00C951A4"/>
    <w:rsid w:val="00C951EB"/>
    <w:rsid w:val="00C95553"/>
    <w:rsid w:val="00C956B7"/>
    <w:rsid w:val="00C95712"/>
    <w:rsid w:val="00C9574D"/>
    <w:rsid w:val="00C95836"/>
    <w:rsid w:val="00C958BC"/>
    <w:rsid w:val="00C95FB1"/>
    <w:rsid w:val="00C96091"/>
    <w:rsid w:val="00C964C3"/>
    <w:rsid w:val="00C969C2"/>
    <w:rsid w:val="00C96C94"/>
    <w:rsid w:val="00C9760E"/>
    <w:rsid w:val="00C97819"/>
    <w:rsid w:val="00C97857"/>
    <w:rsid w:val="00C97A07"/>
    <w:rsid w:val="00C97FC9"/>
    <w:rsid w:val="00CA00AF"/>
    <w:rsid w:val="00CA0553"/>
    <w:rsid w:val="00CA076C"/>
    <w:rsid w:val="00CA0B43"/>
    <w:rsid w:val="00CA1814"/>
    <w:rsid w:val="00CA19CD"/>
    <w:rsid w:val="00CA1A61"/>
    <w:rsid w:val="00CA1AAC"/>
    <w:rsid w:val="00CA1C9B"/>
    <w:rsid w:val="00CA2182"/>
    <w:rsid w:val="00CA228E"/>
    <w:rsid w:val="00CA2301"/>
    <w:rsid w:val="00CA2515"/>
    <w:rsid w:val="00CA2528"/>
    <w:rsid w:val="00CA2534"/>
    <w:rsid w:val="00CA3328"/>
    <w:rsid w:val="00CA3385"/>
    <w:rsid w:val="00CA3405"/>
    <w:rsid w:val="00CA3456"/>
    <w:rsid w:val="00CA3B85"/>
    <w:rsid w:val="00CA4050"/>
    <w:rsid w:val="00CA41BA"/>
    <w:rsid w:val="00CA429F"/>
    <w:rsid w:val="00CA4678"/>
    <w:rsid w:val="00CA468F"/>
    <w:rsid w:val="00CA4D19"/>
    <w:rsid w:val="00CA550B"/>
    <w:rsid w:val="00CA57A0"/>
    <w:rsid w:val="00CA5B2B"/>
    <w:rsid w:val="00CA5B7C"/>
    <w:rsid w:val="00CA5BD8"/>
    <w:rsid w:val="00CA5CC9"/>
    <w:rsid w:val="00CA5D30"/>
    <w:rsid w:val="00CA5D49"/>
    <w:rsid w:val="00CA6776"/>
    <w:rsid w:val="00CA6796"/>
    <w:rsid w:val="00CA6AA5"/>
    <w:rsid w:val="00CA6B69"/>
    <w:rsid w:val="00CA714B"/>
    <w:rsid w:val="00CA7541"/>
    <w:rsid w:val="00CA7817"/>
    <w:rsid w:val="00CA78EF"/>
    <w:rsid w:val="00CA793A"/>
    <w:rsid w:val="00CA7B9E"/>
    <w:rsid w:val="00CB0295"/>
    <w:rsid w:val="00CB0306"/>
    <w:rsid w:val="00CB033A"/>
    <w:rsid w:val="00CB08EE"/>
    <w:rsid w:val="00CB0C49"/>
    <w:rsid w:val="00CB10CC"/>
    <w:rsid w:val="00CB1181"/>
    <w:rsid w:val="00CB16DC"/>
    <w:rsid w:val="00CB1913"/>
    <w:rsid w:val="00CB1CCD"/>
    <w:rsid w:val="00CB1D0A"/>
    <w:rsid w:val="00CB1DE2"/>
    <w:rsid w:val="00CB2089"/>
    <w:rsid w:val="00CB209B"/>
    <w:rsid w:val="00CB2442"/>
    <w:rsid w:val="00CB2562"/>
    <w:rsid w:val="00CB25F3"/>
    <w:rsid w:val="00CB2D4D"/>
    <w:rsid w:val="00CB30A2"/>
    <w:rsid w:val="00CB3B41"/>
    <w:rsid w:val="00CB4043"/>
    <w:rsid w:val="00CB4B02"/>
    <w:rsid w:val="00CB4EEE"/>
    <w:rsid w:val="00CB56EC"/>
    <w:rsid w:val="00CB5896"/>
    <w:rsid w:val="00CB5AC8"/>
    <w:rsid w:val="00CB5B97"/>
    <w:rsid w:val="00CB5D26"/>
    <w:rsid w:val="00CB60AE"/>
    <w:rsid w:val="00CB60DC"/>
    <w:rsid w:val="00CB6406"/>
    <w:rsid w:val="00CB681F"/>
    <w:rsid w:val="00CB6E60"/>
    <w:rsid w:val="00CB6FDE"/>
    <w:rsid w:val="00CB7020"/>
    <w:rsid w:val="00CB72BF"/>
    <w:rsid w:val="00CB72F6"/>
    <w:rsid w:val="00CB761A"/>
    <w:rsid w:val="00CB7726"/>
    <w:rsid w:val="00CB7787"/>
    <w:rsid w:val="00CB7792"/>
    <w:rsid w:val="00CB7982"/>
    <w:rsid w:val="00CB7A1B"/>
    <w:rsid w:val="00CB7B82"/>
    <w:rsid w:val="00CB7E23"/>
    <w:rsid w:val="00CB7EE1"/>
    <w:rsid w:val="00CC012B"/>
    <w:rsid w:val="00CC016A"/>
    <w:rsid w:val="00CC07D2"/>
    <w:rsid w:val="00CC09F8"/>
    <w:rsid w:val="00CC17F8"/>
    <w:rsid w:val="00CC18E5"/>
    <w:rsid w:val="00CC1B71"/>
    <w:rsid w:val="00CC1D01"/>
    <w:rsid w:val="00CC212F"/>
    <w:rsid w:val="00CC21E0"/>
    <w:rsid w:val="00CC21E7"/>
    <w:rsid w:val="00CC23B7"/>
    <w:rsid w:val="00CC2464"/>
    <w:rsid w:val="00CC2CCB"/>
    <w:rsid w:val="00CC2FBD"/>
    <w:rsid w:val="00CC36FD"/>
    <w:rsid w:val="00CC376D"/>
    <w:rsid w:val="00CC41E2"/>
    <w:rsid w:val="00CC43D8"/>
    <w:rsid w:val="00CC4490"/>
    <w:rsid w:val="00CC4524"/>
    <w:rsid w:val="00CC4671"/>
    <w:rsid w:val="00CC4673"/>
    <w:rsid w:val="00CC4AD9"/>
    <w:rsid w:val="00CC50CB"/>
    <w:rsid w:val="00CC519E"/>
    <w:rsid w:val="00CC53ED"/>
    <w:rsid w:val="00CC5AC7"/>
    <w:rsid w:val="00CC5E97"/>
    <w:rsid w:val="00CC6074"/>
    <w:rsid w:val="00CC6609"/>
    <w:rsid w:val="00CC672E"/>
    <w:rsid w:val="00CC6B1D"/>
    <w:rsid w:val="00CC6FCA"/>
    <w:rsid w:val="00CC7021"/>
    <w:rsid w:val="00CC7090"/>
    <w:rsid w:val="00CC70C1"/>
    <w:rsid w:val="00CC72E4"/>
    <w:rsid w:val="00CC7356"/>
    <w:rsid w:val="00CC77C5"/>
    <w:rsid w:val="00CC782D"/>
    <w:rsid w:val="00CC78EA"/>
    <w:rsid w:val="00CC794C"/>
    <w:rsid w:val="00CD015E"/>
    <w:rsid w:val="00CD0186"/>
    <w:rsid w:val="00CD021A"/>
    <w:rsid w:val="00CD0453"/>
    <w:rsid w:val="00CD08F6"/>
    <w:rsid w:val="00CD0949"/>
    <w:rsid w:val="00CD0D55"/>
    <w:rsid w:val="00CD0DB9"/>
    <w:rsid w:val="00CD1130"/>
    <w:rsid w:val="00CD1524"/>
    <w:rsid w:val="00CD154D"/>
    <w:rsid w:val="00CD1A63"/>
    <w:rsid w:val="00CD1E4B"/>
    <w:rsid w:val="00CD1EE6"/>
    <w:rsid w:val="00CD1F2D"/>
    <w:rsid w:val="00CD2A25"/>
    <w:rsid w:val="00CD3044"/>
    <w:rsid w:val="00CD3045"/>
    <w:rsid w:val="00CD31EF"/>
    <w:rsid w:val="00CD3296"/>
    <w:rsid w:val="00CD35BF"/>
    <w:rsid w:val="00CD373B"/>
    <w:rsid w:val="00CD392F"/>
    <w:rsid w:val="00CD409E"/>
    <w:rsid w:val="00CD4156"/>
    <w:rsid w:val="00CD43CC"/>
    <w:rsid w:val="00CD451D"/>
    <w:rsid w:val="00CD452F"/>
    <w:rsid w:val="00CD4EAA"/>
    <w:rsid w:val="00CD4EC2"/>
    <w:rsid w:val="00CD4EC8"/>
    <w:rsid w:val="00CD5E26"/>
    <w:rsid w:val="00CD6135"/>
    <w:rsid w:val="00CD6279"/>
    <w:rsid w:val="00CD627B"/>
    <w:rsid w:val="00CD6447"/>
    <w:rsid w:val="00CD6A14"/>
    <w:rsid w:val="00CD6F13"/>
    <w:rsid w:val="00CD718A"/>
    <w:rsid w:val="00CD741E"/>
    <w:rsid w:val="00CD7500"/>
    <w:rsid w:val="00CD7A8B"/>
    <w:rsid w:val="00CE0201"/>
    <w:rsid w:val="00CE0232"/>
    <w:rsid w:val="00CE0363"/>
    <w:rsid w:val="00CE097D"/>
    <w:rsid w:val="00CE0B0C"/>
    <w:rsid w:val="00CE155E"/>
    <w:rsid w:val="00CE19B0"/>
    <w:rsid w:val="00CE1B19"/>
    <w:rsid w:val="00CE1CA2"/>
    <w:rsid w:val="00CE1D38"/>
    <w:rsid w:val="00CE1FEB"/>
    <w:rsid w:val="00CE250E"/>
    <w:rsid w:val="00CE28F4"/>
    <w:rsid w:val="00CE293A"/>
    <w:rsid w:val="00CE297E"/>
    <w:rsid w:val="00CE2E9A"/>
    <w:rsid w:val="00CE3188"/>
    <w:rsid w:val="00CE3412"/>
    <w:rsid w:val="00CE35A3"/>
    <w:rsid w:val="00CE3740"/>
    <w:rsid w:val="00CE3BDD"/>
    <w:rsid w:val="00CE3F88"/>
    <w:rsid w:val="00CE40F3"/>
    <w:rsid w:val="00CE4123"/>
    <w:rsid w:val="00CE43C4"/>
    <w:rsid w:val="00CE4403"/>
    <w:rsid w:val="00CE4445"/>
    <w:rsid w:val="00CE4677"/>
    <w:rsid w:val="00CE4AF6"/>
    <w:rsid w:val="00CE518C"/>
    <w:rsid w:val="00CE5199"/>
    <w:rsid w:val="00CE5239"/>
    <w:rsid w:val="00CE55A0"/>
    <w:rsid w:val="00CE5689"/>
    <w:rsid w:val="00CE56C4"/>
    <w:rsid w:val="00CE583B"/>
    <w:rsid w:val="00CE5976"/>
    <w:rsid w:val="00CE5CAD"/>
    <w:rsid w:val="00CE5F0E"/>
    <w:rsid w:val="00CE6464"/>
    <w:rsid w:val="00CE6ACA"/>
    <w:rsid w:val="00CE6D30"/>
    <w:rsid w:val="00CE6F42"/>
    <w:rsid w:val="00CE6FB4"/>
    <w:rsid w:val="00CE7235"/>
    <w:rsid w:val="00CE7A9F"/>
    <w:rsid w:val="00CE7AA0"/>
    <w:rsid w:val="00CE7F02"/>
    <w:rsid w:val="00CE7F6C"/>
    <w:rsid w:val="00CF0332"/>
    <w:rsid w:val="00CF085F"/>
    <w:rsid w:val="00CF0E6C"/>
    <w:rsid w:val="00CF0FF9"/>
    <w:rsid w:val="00CF1126"/>
    <w:rsid w:val="00CF1618"/>
    <w:rsid w:val="00CF183B"/>
    <w:rsid w:val="00CF19C9"/>
    <w:rsid w:val="00CF1CF2"/>
    <w:rsid w:val="00CF2865"/>
    <w:rsid w:val="00CF29D1"/>
    <w:rsid w:val="00CF29E7"/>
    <w:rsid w:val="00CF2A70"/>
    <w:rsid w:val="00CF2EF8"/>
    <w:rsid w:val="00CF2FDF"/>
    <w:rsid w:val="00CF2FF0"/>
    <w:rsid w:val="00CF3014"/>
    <w:rsid w:val="00CF31A6"/>
    <w:rsid w:val="00CF3440"/>
    <w:rsid w:val="00CF392E"/>
    <w:rsid w:val="00CF3999"/>
    <w:rsid w:val="00CF3AFA"/>
    <w:rsid w:val="00CF3C65"/>
    <w:rsid w:val="00CF3F11"/>
    <w:rsid w:val="00CF400F"/>
    <w:rsid w:val="00CF41F7"/>
    <w:rsid w:val="00CF4552"/>
    <w:rsid w:val="00CF4CDC"/>
    <w:rsid w:val="00CF4D41"/>
    <w:rsid w:val="00CF585B"/>
    <w:rsid w:val="00CF587B"/>
    <w:rsid w:val="00CF5FA6"/>
    <w:rsid w:val="00CF6255"/>
    <w:rsid w:val="00CF636D"/>
    <w:rsid w:val="00CF6437"/>
    <w:rsid w:val="00CF6A34"/>
    <w:rsid w:val="00CF6D55"/>
    <w:rsid w:val="00CF7018"/>
    <w:rsid w:val="00CF7137"/>
    <w:rsid w:val="00CF7710"/>
    <w:rsid w:val="00CF7BE8"/>
    <w:rsid w:val="00CF7DA1"/>
    <w:rsid w:val="00CF7E26"/>
    <w:rsid w:val="00D0038F"/>
    <w:rsid w:val="00D00758"/>
    <w:rsid w:val="00D007DD"/>
    <w:rsid w:val="00D0090E"/>
    <w:rsid w:val="00D009AC"/>
    <w:rsid w:val="00D00E49"/>
    <w:rsid w:val="00D01004"/>
    <w:rsid w:val="00D01218"/>
    <w:rsid w:val="00D01354"/>
    <w:rsid w:val="00D01596"/>
    <w:rsid w:val="00D019EE"/>
    <w:rsid w:val="00D01D55"/>
    <w:rsid w:val="00D020DE"/>
    <w:rsid w:val="00D0218F"/>
    <w:rsid w:val="00D0251E"/>
    <w:rsid w:val="00D02712"/>
    <w:rsid w:val="00D02A4B"/>
    <w:rsid w:val="00D02D6A"/>
    <w:rsid w:val="00D03073"/>
    <w:rsid w:val="00D03213"/>
    <w:rsid w:val="00D0341F"/>
    <w:rsid w:val="00D037EF"/>
    <w:rsid w:val="00D0390D"/>
    <w:rsid w:val="00D039F9"/>
    <w:rsid w:val="00D03A06"/>
    <w:rsid w:val="00D03A8B"/>
    <w:rsid w:val="00D03A92"/>
    <w:rsid w:val="00D03C37"/>
    <w:rsid w:val="00D03F53"/>
    <w:rsid w:val="00D0413E"/>
    <w:rsid w:val="00D04202"/>
    <w:rsid w:val="00D047C3"/>
    <w:rsid w:val="00D04E75"/>
    <w:rsid w:val="00D05092"/>
    <w:rsid w:val="00D0539F"/>
    <w:rsid w:val="00D0554D"/>
    <w:rsid w:val="00D055D4"/>
    <w:rsid w:val="00D05CFC"/>
    <w:rsid w:val="00D0697A"/>
    <w:rsid w:val="00D06E00"/>
    <w:rsid w:val="00D07CC0"/>
    <w:rsid w:val="00D07D43"/>
    <w:rsid w:val="00D07DCF"/>
    <w:rsid w:val="00D10035"/>
    <w:rsid w:val="00D100F1"/>
    <w:rsid w:val="00D10382"/>
    <w:rsid w:val="00D104D1"/>
    <w:rsid w:val="00D10DBD"/>
    <w:rsid w:val="00D11AA6"/>
    <w:rsid w:val="00D122D1"/>
    <w:rsid w:val="00D12450"/>
    <w:rsid w:val="00D1277F"/>
    <w:rsid w:val="00D1298D"/>
    <w:rsid w:val="00D12C8D"/>
    <w:rsid w:val="00D12D3B"/>
    <w:rsid w:val="00D12E8A"/>
    <w:rsid w:val="00D13001"/>
    <w:rsid w:val="00D1365B"/>
    <w:rsid w:val="00D13DBC"/>
    <w:rsid w:val="00D13FA7"/>
    <w:rsid w:val="00D142ED"/>
    <w:rsid w:val="00D143E7"/>
    <w:rsid w:val="00D14922"/>
    <w:rsid w:val="00D1493F"/>
    <w:rsid w:val="00D14B28"/>
    <w:rsid w:val="00D15CA6"/>
    <w:rsid w:val="00D15EDB"/>
    <w:rsid w:val="00D15EEC"/>
    <w:rsid w:val="00D15FB4"/>
    <w:rsid w:val="00D161D5"/>
    <w:rsid w:val="00D162B8"/>
    <w:rsid w:val="00D16309"/>
    <w:rsid w:val="00D16717"/>
    <w:rsid w:val="00D168BD"/>
    <w:rsid w:val="00D16CAA"/>
    <w:rsid w:val="00D16CE7"/>
    <w:rsid w:val="00D1773E"/>
    <w:rsid w:val="00D17746"/>
    <w:rsid w:val="00D17A77"/>
    <w:rsid w:val="00D17BF4"/>
    <w:rsid w:val="00D20107"/>
    <w:rsid w:val="00D201D9"/>
    <w:rsid w:val="00D20301"/>
    <w:rsid w:val="00D20564"/>
    <w:rsid w:val="00D20A1C"/>
    <w:rsid w:val="00D20B7D"/>
    <w:rsid w:val="00D20CD1"/>
    <w:rsid w:val="00D20D42"/>
    <w:rsid w:val="00D21123"/>
    <w:rsid w:val="00D213A8"/>
    <w:rsid w:val="00D2156E"/>
    <w:rsid w:val="00D21626"/>
    <w:rsid w:val="00D21966"/>
    <w:rsid w:val="00D219D6"/>
    <w:rsid w:val="00D21A34"/>
    <w:rsid w:val="00D21A81"/>
    <w:rsid w:val="00D21AE9"/>
    <w:rsid w:val="00D21AEF"/>
    <w:rsid w:val="00D220CB"/>
    <w:rsid w:val="00D221EC"/>
    <w:rsid w:val="00D2229D"/>
    <w:rsid w:val="00D223C3"/>
    <w:rsid w:val="00D224A2"/>
    <w:rsid w:val="00D22BF1"/>
    <w:rsid w:val="00D22D28"/>
    <w:rsid w:val="00D22DF1"/>
    <w:rsid w:val="00D22E3C"/>
    <w:rsid w:val="00D2314D"/>
    <w:rsid w:val="00D232C2"/>
    <w:rsid w:val="00D232C5"/>
    <w:rsid w:val="00D2342C"/>
    <w:rsid w:val="00D23899"/>
    <w:rsid w:val="00D23A18"/>
    <w:rsid w:val="00D24366"/>
    <w:rsid w:val="00D246C7"/>
    <w:rsid w:val="00D2486B"/>
    <w:rsid w:val="00D24967"/>
    <w:rsid w:val="00D24A4F"/>
    <w:rsid w:val="00D24A9C"/>
    <w:rsid w:val="00D24B64"/>
    <w:rsid w:val="00D24BDA"/>
    <w:rsid w:val="00D25321"/>
    <w:rsid w:val="00D25800"/>
    <w:rsid w:val="00D25833"/>
    <w:rsid w:val="00D25A83"/>
    <w:rsid w:val="00D25AD9"/>
    <w:rsid w:val="00D25B42"/>
    <w:rsid w:val="00D25B4F"/>
    <w:rsid w:val="00D26090"/>
    <w:rsid w:val="00D26114"/>
    <w:rsid w:val="00D262F6"/>
    <w:rsid w:val="00D263C3"/>
    <w:rsid w:val="00D264D4"/>
    <w:rsid w:val="00D2687F"/>
    <w:rsid w:val="00D2726C"/>
    <w:rsid w:val="00D27519"/>
    <w:rsid w:val="00D27B2C"/>
    <w:rsid w:val="00D27BA7"/>
    <w:rsid w:val="00D27C2B"/>
    <w:rsid w:val="00D27F50"/>
    <w:rsid w:val="00D3000A"/>
    <w:rsid w:val="00D3013E"/>
    <w:rsid w:val="00D3082F"/>
    <w:rsid w:val="00D30A8F"/>
    <w:rsid w:val="00D30B67"/>
    <w:rsid w:val="00D30BE6"/>
    <w:rsid w:val="00D30C2D"/>
    <w:rsid w:val="00D30C69"/>
    <w:rsid w:val="00D31386"/>
    <w:rsid w:val="00D31472"/>
    <w:rsid w:val="00D316E1"/>
    <w:rsid w:val="00D31771"/>
    <w:rsid w:val="00D31908"/>
    <w:rsid w:val="00D31A40"/>
    <w:rsid w:val="00D31B12"/>
    <w:rsid w:val="00D31B53"/>
    <w:rsid w:val="00D31D53"/>
    <w:rsid w:val="00D31EB8"/>
    <w:rsid w:val="00D31F9F"/>
    <w:rsid w:val="00D3214B"/>
    <w:rsid w:val="00D323E3"/>
    <w:rsid w:val="00D32908"/>
    <w:rsid w:val="00D3328D"/>
    <w:rsid w:val="00D3371C"/>
    <w:rsid w:val="00D339AF"/>
    <w:rsid w:val="00D33C24"/>
    <w:rsid w:val="00D33EAA"/>
    <w:rsid w:val="00D33F83"/>
    <w:rsid w:val="00D3437E"/>
    <w:rsid w:val="00D3438A"/>
    <w:rsid w:val="00D34469"/>
    <w:rsid w:val="00D347AE"/>
    <w:rsid w:val="00D34CFF"/>
    <w:rsid w:val="00D356C4"/>
    <w:rsid w:val="00D35BCA"/>
    <w:rsid w:val="00D35D1E"/>
    <w:rsid w:val="00D36226"/>
    <w:rsid w:val="00D36263"/>
    <w:rsid w:val="00D36B25"/>
    <w:rsid w:val="00D36FCB"/>
    <w:rsid w:val="00D36FF6"/>
    <w:rsid w:val="00D370F9"/>
    <w:rsid w:val="00D37461"/>
    <w:rsid w:val="00D37BAC"/>
    <w:rsid w:val="00D37C14"/>
    <w:rsid w:val="00D401D6"/>
    <w:rsid w:val="00D409C7"/>
    <w:rsid w:val="00D40B80"/>
    <w:rsid w:val="00D40E1E"/>
    <w:rsid w:val="00D40FA5"/>
    <w:rsid w:val="00D41099"/>
    <w:rsid w:val="00D41A16"/>
    <w:rsid w:val="00D41F62"/>
    <w:rsid w:val="00D424C2"/>
    <w:rsid w:val="00D42866"/>
    <w:rsid w:val="00D42EE9"/>
    <w:rsid w:val="00D42F6D"/>
    <w:rsid w:val="00D4303F"/>
    <w:rsid w:val="00D43222"/>
    <w:rsid w:val="00D43280"/>
    <w:rsid w:val="00D43542"/>
    <w:rsid w:val="00D4357C"/>
    <w:rsid w:val="00D4359A"/>
    <w:rsid w:val="00D435CB"/>
    <w:rsid w:val="00D43BC5"/>
    <w:rsid w:val="00D43CD0"/>
    <w:rsid w:val="00D44059"/>
    <w:rsid w:val="00D4444F"/>
    <w:rsid w:val="00D445CB"/>
    <w:rsid w:val="00D445FD"/>
    <w:rsid w:val="00D44985"/>
    <w:rsid w:val="00D45151"/>
    <w:rsid w:val="00D455CD"/>
    <w:rsid w:val="00D45640"/>
    <w:rsid w:val="00D457D2"/>
    <w:rsid w:val="00D45918"/>
    <w:rsid w:val="00D45986"/>
    <w:rsid w:val="00D45D09"/>
    <w:rsid w:val="00D460D8"/>
    <w:rsid w:val="00D460E1"/>
    <w:rsid w:val="00D4636D"/>
    <w:rsid w:val="00D46489"/>
    <w:rsid w:val="00D467C1"/>
    <w:rsid w:val="00D46A95"/>
    <w:rsid w:val="00D46B68"/>
    <w:rsid w:val="00D46E0B"/>
    <w:rsid w:val="00D47081"/>
    <w:rsid w:val="00D47102"/>
    <w:rsid w:val="00D4729B"/>
    <w:rsid w:val="00D472C6"/>
    <w:rsid w:val="00D4776B"/>
    <w:rsid w:val="00D47884"/>
    <w:rsid w:val="00D500A5"/>
    <w:rsid w:val="00D50468"/>
    <w:rsid w:val="00D509DD"/>
    <w:rsid w:val="00D50F62"/>
    <w:rsid w:val="00D513AC"/>
    <w:rsid w:val="00D51422"/>
    <w:rsid w:val="00D51573"/>
    <w:rsid w:val="00D51B29"/>
    <w:rsid w:val="00D51ECB"/>
    <w:rsid w:val="00D521CE"/>
    <w:rsid w:val="00D52B25"/>
    <w:rsid w:val="00D52BDC"/>
    <w:rsid w:val="00D52F38"/>
    <w:rsid w:val="00D53636"/>
    <w:rsid w:val="00D537EF"/>
    <w:rsid w:val="00D53938"/>
    <w:rsid w:val="00D53E95"/>
    <w:rsid w:val="00D544C1"/>
    <w:rsid w:val="00D545ED"/>
    <w:rsid w:val="00D547FB"/>
    <w:rsid w:val="00D54AD3"/>
    <w:rsid w:val="00D54C50"/>
    <w:rsid w:val="00D54FCA"/>
    <w:rsid w:val="00D550B4"/>
    <w:rsid w:val="00D5562F"/>
    <w:rsid w:val="00D55737"/>
    <w:rsid w:val="00D55746"/>
    <w:rsid w:val="00D55CBB"/>
    <w:rsid w:val="00D564E5"/>
    <w:rsid w:val="00D566AB"/>
    <w:rsid w:val="00D56994"/>
    <w:rsid w:val="00D56A6B"/>
    <w:rsid w:val="00D56AB3"/>
    <w:rsid w:val="00D5784F"/>
    <w:rsid w:val="00D57BDC"/>
    <w:rsid w:val="00D57D4E"/>
    <w:rsid w:val="00D60153"/>
    <w:rsid w:val="00D604DE"/>
    <w:rsid w:val="00D60642"/>
    <w:rsid w:val="00D607B3"/>
    <w:rsid w:val="00D609C2"/>
    <w:rsid w:val="00D60BB2"/>
    <w:rsid w:val="00D60D94"/>
    <w:rsid w:val="00D60F1B"/>
    <w:rsid w:val="00D60F5D"/>
    <w:rsid w:val="00D61132"/>
    <w:rsid w:val="00D61148"/>
    <w:rsid w:val="00D61317"/>
    <w:rsid w:val="00D6147D"/>
    <w:rsid w:val="00D614BB"/>
    <w:rsid w:val="00D61977"/>
    <w:rsid w:val="00D61AB8"/>
    <w:rsid w:val="00D61E3F"/>
    <w:rsid w:val="00D62015"/>
    <w:rsid w:val="00D62183"/>
    <w:rsid w:val="00D6248C"/>
    <w:rsid w:val="00D624A1"/>
    <w:rsid w:val="00D62964"/>
    <w:rsid w:val="00D62D49"/>
    <w:rsid w:val="00D62DF9"/>
    <w:rsid w:val="00D62F40"/>
    <w:rsid w:val="00D631A5"/>
    <w:rsid w:val="00D6343F"/>
    <w:rsid w:val="00D638C4"/>
    <w:rsid w:val="00D63B88"/>
    <w:rsid w:val="00D63D6E"/>
    <w:rsid w:val="00D63E20"/>
    <w:rsid w:val="00D63F7A"/>
    <w:rsid w:val="00D64734"/>
    <w:rsid w:val="00D64791"/>
    <w:rsid w:val="00D64A59"/>
    <w:rsid w:val="00D64A7B"/>
    <w:rsid w:val="00D64CCB"/>
    <w:rsid w:val="00D64D71"/>
    <w:rsid w:val="00D64D88"/>
    <w:rsid w:val="00D651AC"/>
    <w:rsid w:val="00D651CE"/>
    <w:rsid w:val="00D652FD"/>
    <w:rsid w:val="00D655BA"/>
    <w:rsid w:val="00D65784"/>
    <w:rsid w:val="00D65F20"/>
    <w:rsid w:val="00D65F3B"/>
    <w:rsid w:val="00D66707"/>
    <w:rsid w:val="00D66A59"/>
    <w:rsid w:val="00D66B05"/>
    <w:rsid w:val="00D66D5B"/>
    <w:rsid w:val="00D67CA9"/>
    <w:rsid w:val="00D67CE9"/>
    <w:rsid w:val="00D67EF6"/>
    <w:rsid w:val="00D700AC"/>
    <w:rsid w:val="00D701D5"/>
    <w:rsid w:val="00D7044E"/>
    <w:rsid w:val="00D704F7"/>
    <w:rsid w:val="00D70520"/>
    <w:rsid w:val="00D7070E"/>
    <w:rsid w:val="00D70B44"/>
    <w:rsid w:val="00D70BAD"/>
    <w:rsid w:val="00D71740"/>
    <w:rsid w:val="00D71BE5"/>
    <w:rsid w:val="00D7250A"/>
    <w:rsid w:val="00D7254C"/>
    <w:rsid w:val="00D7288C"/>
    <w:rsid w:val="00D72CD9"/>
    <w:rsid w:val="00D72D84"/>
    <w:rsid w:val="00D72E1A"/>
    <w:rsid w:val="00D72F05"/>
    <w:rsid w:val="00D732D5"/>
    <w:rsid w:val="00D73520"/>
    <w:rsid w:val="00D7364E"/>
    <w:rsid w:val="00D73756"/>
    <w:rsid w:val="00D73BFE"/>
    <w:rsid w:val="00D73D29"/>
    <w:rsid w:val="00D73D7F"/>
    <w:rsid w:val="00D73F12"/>
    <w:rsid w:val="00D73F5F"/>
    <w:rsid w:val="00D74046"/>
    <w:rsid w:val="00D74AB1"/>
    <w:rsid w:val="00D74AD9"/>
    <w:rsid w:val="00D74DF4"/>
    <w:rsid w:val="00D75A81"/>
    <w:rsid w:val="00D7644E"/>
    <w:rsid w:val="00D765A4"/>
    <w:rsid w:val="00D7692E"/>
    <w:rsid w:val="00D7696F"/>
    <w:rsid w:val="00D76A54"/>
    <w:rsid w:val="00D76BE7"/>
    <w:rsid w:val="00D76BF9"/>
    <w:rsid w:val="00D76D38"/>
    <w:rsid w:val="00D76DDD"/>
    <w:rsid w:val="00D76DFB"/>
    <w:rsid w:val="00D76EDD"/>
    <w:rsid w:val="00D7741A"/>
    <w:rsid w:val="00D77BFF"/>
    <w:rsid w:val="00D77C0C"/>
    <w:rsid w:val="00D801C7"/>
    <w:rsid w:val="00D80376"/>
    <w:rsid w:val="00D805FF"/>
    <w:rsid w:val="00D80E7F"/>
    <w:rsid w:val="00D80F0E"/>
    <w:rsid w:val="00D8145E"/>
    <w:rsid w:val="00D814C0"/>
    <w:rsid w:val="00D814EB"/>
    <w:rsid w:val="00D81673"/>
    <w:rsid w:val="00D81942"/>
    <w:rsid w:val="00D81973"/>
    <w:rsid w:val="00D81B99"/>
    <w:rsid w:val="00D81D06"/>
    <w:rsid w:val="00D8202D"/>
    <w:rsid w:val="00D822F0"/>
    <w:rsid w:val="00D82A46"/>
    <w:rsid w:val="00D83182"/>
    <w:rsid w:val="00D8369C"/>
    <w:rsid w:val="00D8390B"/>
    <w:rsid w:val="00D83D00"/>
    <w:rsid w:val="00D83FE4"/>
    <w:rsid w:val="00D842CA"/>
    <w:rsid w:val="00D84355"/>
    <w:rsid w:val="00D845B9"/>
    <w:rsid w:val="00D84739"/>
    <w:rsid w:val="00D84D09"/>
    <w:rsid w:val="00D84E76"/>
    <w:rsid w:val="00D84ED8"/>
    <w:rsid w:val="00D857B0"/>
    <w:rsid w:val="00D859BD"/>
    <w:rsid w:val="00D859D2"/>
    <w:rsid w:val="00D85A27"/>
    <w:rsid w:val="00D85B31"/>
    <w:rsid w:val="00D85D02"/>
    <w:rsid w:val="00D85E61"/>
    <w:rsid w:val="00D863F6"/>
    <w:rsid w:val="00D8670F"/>
    <w:rsid w:val="00D86967"/>
    <w:rsid w:val="00D86D75"/>
    <w:rsid w:val="00D8731B"/>
    <w:rsid w:val="00D8743F"/>
    <w:rsid w:val="00D874EE"/>
    <w:rsid w:val="00D874F8"/>
    <w:rsid w:val="00D8751C"/>
    <w:rsid w:val="00D879B7"/>
    <w:rsid w:val="00D87F1E"/>
    <w:rsid w:val="00D87FAE"/>
    <w:rsid w:val="00D87FF4"/>
    <w:rsid w:val="00D903B9"/>
    <w:rsid w:val="00D90542"/>
    <w:rsid w:val="00D90781"/>
    <w:rsid w:val="00D90BCE"/>
    <w:rsid w:val="00D9165B"/>
    <w:rsid w:val="00D91B47"/>
    <w:rsid w:val="00D91B9E"/>
    <w:rsid w:val="00D91F8A"/>
    <w:rsid w:val="00D923C6"/>
    <w:rsid w:val="00D92711"/>
    <w:rsid w:val="00D9314B"/>
    <w:rsid w:val="00D93741"/>
    <w:rsid w:val="00D93872"/>
    <w:rsid w:val="00D93A03"/>
    <w:rsid w:val="00D93A38"/>
    <w:rsid w:val="00D93BD0"/>
    <w:rsid w:val="00D93DEE"/>
    <w:rsid w:val="00D94053"/>
    <w:rsid w:val="00D9430B"/>
    <w:rsid w:val="00D94331"/>
    <w:rsid w:val="00D943BC"/>
    <w:rsid w:val="00D94975"/>
    <w:rsid w:val="00D94A8E"/>
    <w:rsid w:val="00D94EE1"/>
    <w:rsid w:val="00D957B5"/>
    <w:rsid w:val="00D95ADF"/>
    <w:rsid w:val="00D95C39"/>
    <w:rsid w:val="00D95DCE"/>
    <w:rsid w:val="00D960BF"/>
    <w:rsid w:val="00D96202"/>
    <w:rsid w:val="00D962EB"/>
    <w:rsid w:val="00D969E4"/>
    <w:rsid w:val="00D96A3E"/>
    <w:rsid w:val="00D96BFC"/>
    <w:rsid w:val="00D96C13"/>
    <w:rsid w:val="00D96FDA"/>
    <w:rsid w:val="00D9743C"/>
    <w:rsid w:val="00D97786"/>
    <w:rsid w:val="00D97891"/>
    <w:rsid w:val="00D97E05"/>
    <w:rsid w:val="00DA05AE"/>
    <w:rsid w:val="00DA0615"/>
    <w:rsid w:val="00DA06A8"/>
    <w:rsid w:val="00DA06FF"/>
    <w:rsid w:val="00DA09CA"/>
    <w:rsid w:val="00DA09E4"/>
    <w:rsid w:val="00DA09FB"/>
    <w:rsid w:val="00DA0B86"/>
    <w:rsid w:val="00DA0DD9"/>
    <w:rsid w:val="00DA1AE4"/>
    <w:rsid w:val="00DA20C1"/>
    <w:rsid w:val="00DA2440"/>
    <w:rsid w:val="00DA2974"/>
    <w:rsid w:val="00DA2C36"/>
    <w:rsid w:val="00DA2CFC"/>
    <w:rsid w:val="00DA2FF9"/>
    <w:rsid w:val="00DA34FB"/>
    <w:rsid w:val="00DA3974"/>
    <w:rsid w:val="00DA403F"/>
    <w:rsid w:val="00DA4516"/>
    <w:rsid w:val="00DA4651"/>
    <w:rsid w:val="00DA47D6"/>
    <w:rsid w:val="00DA4D06"/>
    <w:rsid w:val="00DA4FAC"/>
    <w:rsid w:val="00DA50C2"/>
    <w:rsid w:val="00DA5422"/>
    <w:rsid w:val="00DA5492"/>
    <w:rsid w:val="00DA564E"/>
    <w:rsid w:val="00DA59BD"/>
    <w:rsid w:val="00DA59EB"/>
    <w:rsid w:val="00DA5AF4"/>
    <w:rsid w:val="00DA5F47"/>
    <w:rsid w:val="00DA605E"/>
    <w:rsid w:val="00DA6556"/>
    <w:rsid w:val="00DA656B"/>
    <w:rsid w:val="00DA6672"/>
    <w:rsid w:val="00DA6894"/>
    <w:rsid w:val="00DA69B1"/>
    <w:rsid w:val="00DA6BBF"/>
    <w:rsid w:val="00DA71F9"/>
    <w:rsid w:val="00DA7554"/>
    <w:rsid w:val="00DA7775"/>
    <w:rsid w:val="00DA7A01"/>
    <w:rsid w:val="00DA7A31"/>
    <w:rsid w:val="00DA7CAD"/>
    <w:rsid w:val="00DA7E52"/>
    <w:rsid w:val="00DA7F4C"/>
    <w:rsid w:val="00DB0177"/>
    <w:rsid w:val="00DB0319"/>
    <w:rsid w:val="00DB041D"/>
    <w:rsid w:val="00DB0678"/>
    <w:rsid w:val="00DB0A66"/>
    <w:rsid w:val="00DB0B08"/>
    <w:rsid w:val="00DB0C3D"/>
    <w:rsid w:val="00DB0D7B"/>
    <w:rsid w:val="00DB0FF4"/>
    <w:rsid w:val="00DB11BC"/>
    <w:rsid w:val="00DB1350"/>
    <w:rsid w:val="00DB18DC"/>
    <w:rsid w:val="00DB1BA3"/>
    <w:rsid w:val="00DB1BC5"/>
    <w:rsid w:val="00DB1CE4"/>
    <w:rsid w:val="00DB20C7"/>
    <w:rsid w:val="00DB2471"/>
    <w:rsid w:val="00DB2849"/>
    <w:rsid w:val="00DB2912"/>
    <w:rsid w:val="00DB2A12"/>
    <w:rsid w:val="00DB35AC"/>
    <w:rsid w:val="00DB378E"/>
    <w:rsid w:val="00DB3C33"/>
    <w:rsid w:val="00DB3EE9"/>
    <w:rsid w:val="00DB45CD"/>
    <w:rsid w:val="00DB4E55"/>
    <w:rsid w:val="00DB4FBA"/>
    <w:rsid w:val="00DB50B7"/>
    <w:rsid w:val="00DB50BC"/>
    <w:rsid w:val="00DB5455"/>
    <w:rsid w:val="00DB5962"/>
    <w:rsid w:val="00DB5AC0"/>
    <w:rsid w:val="00DB5AF3"/>
    <w:rsid w:val="00DB5DD4"/>
    <w:rsid w:val="00DB5F74"/>
    <w:rsid w:val="00DB665A"/>
    <w:rsid w:val="00DB6696"/>
    <w:rsid w:val="00DB6BC9"/>
    <w:rsid w:val="00DB6DF0"/>
    <w:rsid w:val="00DB70FD"/>
    <w:rsid w:val="00DB76A8"/>
    <w:rsid w:val="00DB79B6"/>
    <w:rsid w:val="00DB7A1A"/>
    <w:rsid w:val="00DB7A63"/>
    <w:rsid w:val="00DB7AC8"/>
    <w:rsid w:val="00DC0124"/>
    <w:rsid w:val="00DC01AA"/>
    <w:rsid w:val="00DC0383"/>
    <w:rsid w:val="00DC07CC"/>
    <w:rsid w:val="00DC0A05"/>
    <w:rsid w:val="00DC0B86"/>
    <w:rsid w:val="00DC0DFF"/>
    <w:rsid w:val="00DC1108"/>
    <w:rsid w:val="00DC115C"/>
    <w:rsid w:val="00DC1521"/>
    <w:rsid w:val="00DC16AA"/>
    <w:rsid w:val="00DC195A"/>
    <w:rsid w:val="00DC2007"/>
    <w:rsid w:val="00DC21CB"/>
    <w:rsid w:val="00DC25D2"/>
    <w:rsid w:val="00DC25DA"/>
    <w:rsid w:val="00DC2AA9"/>
    <w:rsid w:val="00DC2B07"/>
    <w:rsid w:val="00DC3391"/>
    <w:rsid w:val="00DC3765"/>
    <w:rsid w:val="00DC380B"/>
    <w:rsid w:val="00DC45B6"/>
    <w:rsid w:val="00DC468A"/>
    <w:rsid w:val="00DC476A"/>
    <w:rsid w:val="00DC476B"/>
    <w:rsid w:val="00DC4867"/>
    <w:rsid w:val="00DC486A"/>
    <w:rsid w:val="00DC4A7C"/>
    <w:rsid w:val="00DC4B4A"/>
    <w:rsid w:val="00DC50C6"/>
    <w:rsid w:val="00DC515C"/>
    <w:rsid w:val="00DC523F"/>
    <w:rsid w:val="00DC52E7"/>
    <w:rsid w:val="00DC54B0"/>
    <w:rsid w:val="00DC5510"/>
    <w:rsid w:val="00DC5B2E"/>
    <w:rsid w:val="00DC659C"/>
    <w:rsid w:val="00DC68F2"/>
    <w:rsid w:val="00DC6933"/>
    <w:rsid w:val="00DC6BA3"/>
    <w:rsid w:val="00DC7232"/>
    <w:rsid w:val="00DC73E1"/>
    <w:rsid w:val="00DC7488"/>
    <w:rsid w:val="00DC75A6"/>
    <w:rsid w:val="00DC778F"/>
    <w:rsid w:val="00DC78EC"/>
    <w:rsid w:val="00DC79A6"/>
    <w:rsid w:val="00DD0A15"/>
    <w:rsid w:val="00DD0C37"/>
    <w:rsid w:val="00DD0D62"/>
    <w:rsid w:val="00DD12AB"/>
    <w:rsid w:val="00DD1389"/>
    <w:rsid w:val="00DD143F"/>
    <w:rsid w:val="00DD147B"/>
    <w:rsid w:val="00DD173A"/>
    <w:rsid w:val="00DD18D1"/>
    <w:rsid w:val="00DD1A52"/>
    <w:rsid w:val="00DD1B97"/>
    <w:rsid w:val="00DD1EB0"/>
    <w:rsid w:val="00DD217C"/>
    <w:rsid w:val="00DD26A6"/>
    <w:rsid w:val="00DD27DA"/>
    <w:rsid w:val="00DD29C8"/>
    <w:rsid w:val="00DD2C93"/>
    <w:rsid w:val="00DD2F9A"/>
    <w:rsid w:val="00DD3191"/>
    <w:rsid w:val="00DD3BC3"/>
    <w:rsid w:val="00DD3F97"/>
    <w:rsid w:val="00DD4039"/>
    <w:rsid w:val="00DD41C5"/>
    <w:rsid w:val="00DD4257"/>
    <w:rsid w:val="00DD44FD"/>
    <w:rsid w:val="00DD4BA6"/>
    <w:rsid w:val="00DD4C96"/>
    <w:rsid w:val="00DD5296"/>
    <w:rsid w:val="00DD541F"/>
    <w:rsid w:val="00DD54FE"/>
    <w:rsid w:val="00DD55B0"/>
    <w:rsid w:val="00DD58ED"/>
    <w:rsid w:val="00DD5A24"/>
    <w:rsid w:val="00DD5E7F"/>
    <w:rsid w:val="00DD5F01"/>
    <w:rsid w:val="00DD619A"/>
    <w:rsid w:val="00DD6718"/>
    <w:rsid w:val="00DD6AD7"/>
    <w:rsid w:val="00DD6EB8"/>
    <w:rsid w:val="00DD6F2E"/>
    <w:rsid w:val="00DD7171"/>
    <w:rsid w:val="00DD730D"/>
    <w:rsid w:val="00DD77E3"/>
    <w:rsid w:val="00DD7BBC"/>
    <w:rsid w:val="00DD7E94"/>
    <w:rsid w:val="00DD7F79"/>
    <w:rsid w:val="00DE0103"/>
    <w:rsid w:val="00DE0464"/>
    <w:rsid w:val="00DE0DD3"/>
    <w:rsid w:val="00DE0F42"/>
    <w:rsid w:val="00DE1522"/>
    <w:rsid w:val="00DE1587"/>
    <w:rsid w:val="00DE1917"/>
    <w:rsid w:val="00DE1B38"/>
    <w:rsid w:val="00DE279B"/>
    <w:rsid w:val="00DE2B60"/>
    <w:rsid w:val="00DE30A2"/>
    <w:rsid w:val="00DE346B"/>
    <w:rsid w:val="00DE34CB"/>
    <w:rsid w:val="00DE38A6"/>
    <w:rsid w:val="00DE3D0A"/>
    <w:rsid w:val="00DE44E3"/>
    <w:rsid w:val="00DE4D9B"/>
    <w:rsid w:val="00DE4F87"/>
    <w:rsid w:val="00DE539E"/>
    <w:rsid w:val="00DE57FD"/>
    <w:rsid w:val="00DE5BDB"/>
    <w:rsid w:val="00DE5DC9"/>
    <w:rsid w:val="00DE628C"/>
    <w:rsid w:val="00DE639B"/>
    <w:rsid w:val="00DE6517"/>
    <w:rsid w:val="00DE660D"/>
    <w:rsid w:val="00DE68AF"/>
    <w:rsid w:val="00DE68F5"/>
    <w:rsid w:val="00DE6AE5"/>
    <w:rsid w:val="00DE6D93"/>
    <w:rsid w:val="00DE7288"/>
    <w:rsid w:val="00DE746A"/>
    <w:rsid w:val="00DE74DC"/>
    <w:rsid w:val="00DE7509"/>
    <w:rsid w:val="00DE7616"/>
    <w:rsid w:val="00DE799F"/>
    <w:rsid w:val="00DE7F27"/>
    <w:rsid w:val="00DF016B"/>
    <w:rsid w:val="00DF04A1"/>
    <w:rsid w:val="00DF060C"/>
    <w:rsid w:val="00DF068F"/>
    <w:rsid w:val="00DF0963"/>
    <w:rsid w:val="00DF0D59"/>
    <w:rsid w:val="00DF0FDE"/>
    <w:rsid w:val="00DF12DE"/>
    <w:rsid w:val="00DF1575"/>
    <w:rsid w:val="00DF1A55"/>
    <w:rsid w:val="00DF1CBA"/>
    <w:rsid w:val="00DF2098"/>
    <w:rsid w:val="00DF2633"/>
    <w:rsid w:val="00DF272F"/>
    <w:rsid w:val="00DF2910"/>
    <w:rsid w:val="00DF31CC"/>
    <w:rsid w:val="00DF35CE"/>
    <w:rsid w:val="00DF3766"/>
    <w:rsid w:val="00DF3D3F"/>
    <w:rsid w:val="00DF3DD3"/>
    <w:rsid w:val="00DF3FEC"/>
    <w:rsid w:val="00DF42C5"/>
    <w:rsid w:val="00DF4859"/>
    <w:rsid w:val="00DF4CCE"/>
    <w:rsid w:val="00DF4E68"/>
    <w:rsid w:val="00DF5372"/>
    <w:rsid w:val="00DF5BF1"/>
    <w:rsid w:val="00DF5EF7"/>
    <w:rsid w:val="00DF64B1"/>
    <w:rsid w:val="00DF696B"/>
    <w:rsid w:val="00DF699A"/>
    <w:rsid w:val="00DF69DF"/>
    <w:rsid w:val="00DF6B7A"/>
    <w:rsid w:val="00DF6CED"/>
    <w:rsid w:val="00DF6D8A"/>
    <w:rsid w:val="00DF6DF7"/>
    <w:rsid w:val="00DF6F19"/>
    <w:rsid w:val="00DF749E"/>
    <w:rsid w:val="00DF75D1"/>
    <w:rsid w:val="00DF75E9"/>
    <w:rsid w:val="00DF784D"/>
    <w:rsid w:val="00E0000C"/>
    <w:rsid w:val="00E003E8"/>
    <w:rsid w:val="00E005D2"/>
    <w:rsid w:val="00E00AAE"/>
    <w:rsid w:val="00E01140"/>
    <w:rsid w:val="00E01255"/>
    <w:rsid w:val="00E0158C"/>
    <w:rsid w:val="00E01C3E"/>
    <w:rsid w:val="00E02776"/>
    <w:rsid w:val="00E02D02"/>
    <w:rsid w:val="00E02FF7"/>
    <w:rsid w:val="00E0357F"/>
    <w:rsid w:val="00E037C5"/>
    <w:rsid w:val="00E03B9D"/>
    <w:rsid w:val="00E03BC4"/>
    <w:rsid w:val="00E03BED"/>
    <w:rsid w:val="00E03DB5"/>
    <w:rsid w:val="00E041A8"/>
    <w:rsid w:val="00E047A5"/>
    <w:rsid w:val="00E048AE"/>
    <w:rsid w:val="00E04932"/>
    <w:rsid w:val="00E0494E"/>
    <w:rsid w:val="00E04F1B"/>
    <w:rsid w:val="00E04F88"/>
    <w:rsid w:val="00E051E5"/>
    <w:rsid w:val="00E05227"/>
    <w:rsid w:val="00E05424"/>
    <w:rsid w:val="00E0597F"/>
    <w:rsid w:val="00E05A0D"/>
    <w:rsid w:val="00E05C91"/>
    <w:rsid w:val="00E06FB9"/>
    <w:rsid w:val="00E071F1"/>
    <w:rsid w:val="00E0772A"/>
    <w:rsid w:val="00E07B31"/>
    <w:rsid w:val="00E07D19"/>
    <w:rsid w:val="00E07F53"/>
    <w:rsid w:val="00E07FC7"/>
    <w:rsid w:val="00E1019B"/>
    <w:rsid w:val="00E10377"/>
    <w:rsid w:val="00E10435"/>
    <w:rsid w:val="00E106CF"/>
    <w:rsid w:val="00E107FC"/>
    <w:rsid w:val="00E10F93"/>
    <w:rsid w:val="00E115B8"/>
    <w:rsid w:val="00E119B1"/>
    <w:rsid w:val="00E11C98"/>
    <w:rsid w:val="00E12017"/>
    <w:rsid w:val="00E1242D"/>
    <w:rsid w:val="00E12866"/>
    <w:rsid w:val="00E12E27"/>
    <w:rsid w:val="00E131B8"/>
    <w:rsid w:val="00E135FE"/>
    <w:rsid w:val="00E13BAE"/>
    <w:rsid w:val="00E13D16"/>
    <w:rsid w:val="00E1415C"/>
    <w:rsid w:val="00E14298"/>
    <w:rsid w:val="00E142BB"/>
    <w:rsid w:val="00E145B7"/>
    <w:rsid w:val="00E15307"/>
    <w:rsid w:val="00E15714"/>
    <w:rsid w:val="00E15A8A"/>
    <w:rsid w:val="00E164A7"/>
    <w:rsid w:val="00E16A14"/>
    <w:rsid w:val="00E16F0C"/>
    <w:rsid w:val="00E173BB"/>
    <w:rsid w:val="00E20630"/>
    <w:rsid w:val="00E2063F"/>
    <w:rsid w:val="00E20BCD"/>
    <w:rsid w:val="00E20DCE"/>
    <w:rsid w:val="00E21080"/>
    <w:rsid w:val="00E214C1"/>
    <w:rsid w:val="00E21893"/>
    <w:rsid w:val="00E21992"/>
    <w:rsid w:val="00E21B53"/>
    <w:rsid w:val="00E21BB0"/>
    <w:rsid w:val="00E21BC5"/>
    <w:rsid w:val="00E21FB9"/>
    <w:rsid w:val="00E22005"/>
    <w:rsid w:val="00E22355"/>
    <w:rsid w:val="00E223CD"/>
    <w:rsid w:val="00E22B6E"/>
    <w:rsid w:val="00E22DAE"/>
    <w:rsid w:val="00E22DEF"/>
    <w:rsid w:val="00E22EE7"/>
    <w:rsid w:val="00E2308E"/>
    <w:rsid w:val="00E230EA"/>
    <w:rsid w:val="00E232F4"/>
    <w:rsid w:val="00E23559"/>
    <w:rsid w:val="00E235B2"/>
    <w:rsid w:val="00E2374C"/>
    <w:rsid w:val="00E23BE4"/>
    <w:rsid w:val="00E23C81"/>
    <w:rsid w:val="00E24007"/>
    <w:rsid w:val="00E24426"/>
    <w:rsid w:val="00E250CD"/>
    <w:rsid w:val="00E2530F"/>
    <w:rsid w:val="00E25375"/>
    <w:rsid w:val="00E2563C"/>
    <w:rsid w:val="00E2583B"/>
    <w:rsid w:val="00E2584F"/>
    <w:rsid w:val="00E2586C"/>
    <w:rsid w:val="00E2590B"/>
    <w:rsid w:val="00E25A64"/>
    <w:rsid w:val="00E25AE3"/>
    <w:rsid w:val="00E25EEB"/>
    <w:rsid w:val="00E26067"/>
    <w:rsid w:val="00E2606D"/>
    <w:rsid w:val="00E260F1"/>
    <w:rsid w:val="00E26247"/>
    <w:rsid w:val="00E2667C"/>
    <w:rsid w:val="00E26EE3"/>
    <w:rsid w:val="00E271F2"/>
    <w:rsid w:val="00E27501"/>
    <w:rsid w:val="00E27C5D"/>
    <w:rsid w:val="00E27E26"/>
    <w:rsid w:val="00E27EF8"/>
    <w:rsid w:val="00E27F7C"/>
    <w:rsid w:val="00E300C7"/>
    <w:rsid w:val="00E30345"/>
    <w:rsid w:val="00E30A52"/>
    <w:rsid w:val="00E30E47"/>
    <w:rsid w:val="00E30F78"/>
    <w:rsid w:val="00E31336"/>
    <w:rsid w:val="00E313BF"/>
    <w:rsid w:val="00E31DAE"/>
    <w:rsid w:val="00E329FC"/>
    <w:rsid w:val="00E32BB8"/>
    <w:rsid w:val="00E32D39"/>
    <w:rsid w:val="00E3327D"/>
    <w:rsid w:val="00E332D2"/>
    <w:rsid w:val="00E33610"/>
    <w:rsid w:val="00E33850"/>
    <w:rsid w:val="00E339B0"/>
    <w:rsid w:val="00E33A24"/>
    <w:rsid w:val="00E33CE8"/>
    <w:rsid w:val="00E34113"/>
    <w:rsid w:val="00E34169"/>
    <w:rsid w:val="00E342A1"/>
    <w:rsid w:val="00E344E6"/>
    <w:rsid w:val="00E34782"/>
    <w:rsid w:val="00E3480E"/>
    <w:rsid w:val="00E34CC7"/>
    <w:rsid w:val="00E34CDA"/>
    <w:rsid w:val="00E34D60"/>
    <w:rsid w:val="00E3518F"/>
    <w:rsid w:val="00E35237"/>
    <w:rsid w:val="00E35E6A"/>
    <w:rsid w:val="00E36117"/>
    <w:rsid w:val="00E36475"/>
    <w:rsid w:val="00E364A4"/>
    <w:rsid w:val="00E364AE"/>
    <w:rsid w:val="00E369DB"/>
    <w:rsid w:val="00E36A97"/>
    <w:rsid w:val="00E373B9"/>
    <w:rsid w:val="00E374FB"/>
    <w:rsid w:val="00E37512"/>
    <w:rsid w:val="00E3756C"/>
    <w:rsid w:val="00E375BC"/>
    <w:rsid w:val="00E37965"/>
    <w:rsid w:val="00E379B7"/>
    <w:rsid w:val="00E379D6"/>
    <w:rsid w:val="00E37E3A"/>
    <w:rsid w:val="00E40477"/>
    <w:rsid w:val="00E40BD0"/>
    <w:rsid w:val="00E40D4B"/>
    <w:rsid w:val="00E410A3"/>
    <w:rsid w:val="00E4129E"/>
    <w:rsid w:val="00E414CA"/>
    <w:rsid w:val="00E419A3"/>
    <w:rsid w:val="00E41C29"/>
    <w:rsid w:val="00E41EB0"/>
    <w:rsid w:val="00E427FC"/>
    <w:rsid w:val="00E429C0"/>
    <w:rsid w:val="00E43383"/>
    <w:rsid w:val="00E4342C"/>
    <w:rsid w:val="00E43694"/>
    <w:rsid w:val="00E43979"/>
    <w:rsid w:val="00E43F5B"/>
    <w:rsid w:val="00E43F6E"/>
    <w:rsid w:val="00E445B7"/>
    <w:rsid w:val="00E445D8"/>
    <w:rsid w:val="00E44CB2"/>
    <w:rsid w:val="00E45187"/>
    <w:rsid w:val="00E45222"/>
    <w:rsid w:val="00E4534E"/>
    <w:rsid w:val="00E4544D"/>
    <w:rsid w:val="00E456E2"/>
    <w:rsid w:val="00E4592D"/>
    <w:rsid w:val="00E45AAC"/>
    <w:rsid w:val="00E45F37"/>
    <w:rsid w:val="00E46084"/>
    <w:rsid w:val="00E4612F"/>
    <w:rsid w:val="00E46251"/>
    <w:rsid w:val="00E4664E"/>
    <w:rsid w:val="00E46671"/>
    <w:rsid w:val="00E46959"/>
    <w:rsid w:val="00E46C7B"/>
    <w:rsid w:val="00E47287"/>
    <w:rsid w:val="00E4774D"/>
    <w:rsid w:val="00E47886"/>
    <w:rsid w:val="00E502F7"/>
    <w:rsid w:val="00E50800"/>
    <w:rsid w:val="00E50BFA"/>
    <w:rsid w:val="00E51128"/>
    <w:rsid w:val="00E5115C"/>
    <w:rsid w:val="00E51349"/>
    <w:rsid w:val="00E51597"/>
    <w:rsid w:val="00E5187F"/>
    <w:rsid w:val="00E5189A"/>
    <w:rsid w:val="00E51B20"/>
    <w:rsid w:val="00E51E77"/>
    <w:rsid w:val="00E52584"/>
    <w:rsid w:val="00E528DB"/>
    <w:rsid w:val="00E53038"/>
    <w:rsid w:val="00E53095"/>
    <w:rsid w:val="00E53481"/>
    <w:rsid w:val="00E53663"/>
    <w:rsid w:val="00E538C0"/>
    <w:rsid w:val="00E53A53"/>
    <w:rsid w:val="00E53DE2"/>
    <w:rsid w:val="00E53E07"/>
    <w:rsid w:val="00E53E6C"/>
    <w:rsid w:val="00E540B1"/>
    <w:rsid w:val="00E543C2"/>
    <w:rsid w:val="00E545E6"/>
    <w:rsid w:val="00E548E0"/>
    <w:rsid w:val="00E549B0"/>
    <w:rsid w:val="00E54D2A"/>
    <w:rsid w:val="00E54E61"/>
    <w:rsid w:val="00E54F93"/>
    <w:rsid w:val="00E555E3"/>
    <w:rsid w:val="00E55645"/>
    <w:rsid w:val="00E558C9"/>
    <w:rsid w:val="00E55DA8"/>
    <w:rsid w:val="00E560DD"/>
    <w:rsid w:val="00E5649D"/>
    <w:rsid w:val="00E564C0"/>
    <w:rsid w:val="00E566F3"/>
    <w:rsid w:val="00E56896"/>
    <w:rsid w:val="00E569DB"/>
    <w:rsid w:val="00E56ADD"/>
    <w:rsid w:val="00E56D8E"/>
    <w:rsid w:val="00E56FA6"/>
    <w:rsid w:val="00E57134"/>
    <w:rsid w:val="00E5748B"/>
    <w:rsid w:val="00E577DE"/>
    <w:rsid w:val="00E5790B"/>
    <w:rsid w:val="00E57D8C"/>
    <w:rsid w:val="00E600BC"/>
    <w:rsid w:val="00E60612"/>
    <w:rsid w:val="00E606F6"/>
    <w:rsid w:val="00E609BB"/>
    <w:rsid w:val="00E609C6"/>
    <w:rsid w:val="00E60D5C"/>
    <w:rsid w:val="00E6197D"/>
    <w:rsid w:val="00E61A01"/>
    <w:rsid w:val="00E61B3A"/>
    <w:rsid w:val="00E61C31"/>
    <w:rsid w:val="00E61CEB"/>
    <w:rsid w:val="00E61F4C"/>
    <w:rsid w:val="00E621DD"/>
    <w:rsid w:val="00E62647"/>
    <w:rsid w:val="00E6289F"/>
    <w:rsid w:val="00E628A6"/>
    <w:rsid w:val="00E629B3"/>
    <w:rsid w:val="00E63C31"/>
    <w:rsid w:val="00E63E14"/>
    <w:rsid w:val="00E63F43"/>
    <w:rsid w:val="00E63FD9"/>
    <w:rsid w:val="00E64168"/>
    <w:rsid w:val="00E645D9"/>
    <w:rsid w:val="00E6476D"/>
    <w:rsid w:val="00E647AB"/>
    <w:rsid w:val="00E64C7B"/>
    <w:rsid w:val="00E653C3"/>
    <w:rsid w:val="00E654C9"/>
    <w:rsid w:val="00E657AA"/>
    <w:rsid w:val="00E65892"/>
    <w:rsid w:val="00E6589B"/>
    <w:rsid w:val="00E65931"/>
    <w:rsid w:val="00E66B15"/>
    <w:rsid w:val="00E66C8B"/>
    <w:rsid w:val="00E672E7"/>
    <w:rsid w:val="00E67469"/>
    <w:rsid w:val="00E67671"/>
    <w:rsid w:val="00E679C1"/>
    <w:rsid w:val="00E67C5A"/>
    <w:rsid w:val="00E67C89"/>
    <w:rsid w:val="00E70148"/>
    <w:rsid w:val="00E70153"/>
    <w:rsid w:val="00E70392"/>
    <w:rsid w:val="00E703B8"/>
    <w:rsid w:val="00E706BE"/>
    <w:rsid w:val="00E7095E"/>
    <w:rsid w:val="00E70ECC"/>
    <w:rsid w:val="00E70F77"/>
    <w:rsid w:val="00E712B6"/>
    <w:rsid w:val="00E713B9"/>
    <w:rsid w:val="00E7174A"/>
    <w:rsid w:val="00E71A22"/>
    <w:rsid w:val="00E71DB1"/>
    <w:rsid w:val="00E71DCD"/>
    <w:rsid w:val="00E71E6B"/>
    <w:rsid w:val="00E71F1A"/>
    <w:rsid w:val="00E72296"/>
    <w:rsid w:val="00E72864"/>
    <w:rsid w:val="00E733B0"/>
    <w:rsid w:val="00E73410"/>
    <w:rsid w:val="00E735E6"/>
    <w:rsid w:val="00E737A2"/>
    <w:rsid w:val="00E73982"/>
    <w:rsid w:val="00E73AC8"/>
    <w:rsid w:val="00E73E75"/>
    <w:rsid w:val="00E7407E"/>
    <w:rsid w:val="00E7468C"/>
    <w:rsid w:val="00E74BE5"/>
    <w:rsid w:val="00E751F9"/>
    <w:rsid w:val="00E75574"/>
    <w:rsid w:val="00E756D7"/>
    <w:rsid w:val="00E756E3"/>
    <w:rsid w:val="00E75790"/>
    <w:rsid w:val="00E757FC"/>
    <w:rsid w:val="00E75C2B"/>
    <w:rsid w:val="00E75FEE"/>
    <w:rsid w:val="00E76082"/>
    <w:rsid w:val="00E769A3"/>
    <w:rsid w:val="00E76B85"/>
    <w:rsid w:val="00E7705F"/>
    <w:rsid w:val="00E772C7"/>
    <w:rsid w:val="00E77549"/>
    <w:rsid w:val="00E776C8"/>
    <w:rsid w:val="00E77742"/>
    <w:rsid w:val="00E779E0"/>
    <w:rsid w:val="00E77A6B"/>
    <w:rsid w:val="00E77D8B"/>
    <w:rsid w:val="00E77F7B"/>
    <w:rsid w:val="00E80333"/>
    <w:rsid w:val="00E80EB7"/>
    <w:rsid w:val="00E819E3"/>
    <w:rsid w:val="00E81A7C"/>
    <w:rsid w:val="00E81AB1"/>
    <w:rsid w:val="00E81CBD"/>
    <w:rsid w:val="00E81F55"/>
    <w:rsid w:val="00E82AFC"/>
    <w:rsid w:val="00E82BDE"/>
    <w:rsid w:val="00E82E94"/>
    <w:rsid w:val="00E8323B"/>
    <w:rsid w:val="00E83773"/>
    <w:rsid w:val="00E83E7C"/>
    <w:rsid w:val="00E840F2"/>
    <w:rsid w:val="00E8436D"/>
    <w:rsid w:val="00E8468A"/>
    <w:rsid w:val="00E8476B"/>
    <w:rsid w:val="00E847B0"/>
    <w:rsid w:val="00E84BB6"/>
    <w:rsid w:val="00E84CF5"/>
    <w:rsid w:val="00E852F9"/>
    <w:rsid w:val="00E85521"/>
    <w:rsid w:val="00E85B6D"/>
    <w:rsid w:val="00E85BCA"/>
    <w:rsid w:val="00E85DF0"/>
    <w:rsid w:val="00E860E7"/>
    <w:rsid w:val="00E862A1"/>
    <w:rsid w:val="00E8741B"/>
    <w:rsid w:val="00E87956"/>
    <w:rsid w:val="00E87A66"/>
    <w:rsid w:val="00E87DA3"/>
    <w:rsid w:val="00E90203"/>
    <w:rsid w:val="00E905A4"/>
    <w:rsid w:val="00E9062E"/>
    <w:rsid w:val="00E906A1"/>
    <w:rsid w:val="00E90769"/>
    <w:rsid w:val="00E907B0"/>
    <w:rsid w:val="00E908DA"/>
    <w:rsid w:val="00E909EB"/>
    <w:rsid w:val="00E913DA"/>
    <w:rsid w:val="00E9141A"/>
    <w:rsid w:val="00E91966"/>
    <w:rsid w:val="00E92B4B"/>
    <w:rsid w:val="00E92E90"/>
    <w:rsid w:val="00E930A8"/>
    <w:rsid w:val="00E9335B"/>
    <w:rsid w:val="00E93686"/>
    <w:rsid w:val="00E93D8A"/>
    <w:rsid w:val="00E93DB0"/>
    <w:rsid w:val="00E9424E"/>
    <w:rsid w:val="00E94428"/>
    <w:rsid w:val="00E94688"/>
    <w:rsid w:val="00E9469A"/>
    <w:rsid w:val="00E947D1"/>
    <w:rsid w:val="00E94921"/>
    <w:rsid w:val="00E949CD"/>
    <w:rsid w:val="00E94AEC"/>
    <w:rsid w:val="00E94FB5"/>
    <w:rsid w:val="00E95139"/>
    <w:rsid w:val="00E9559B"/>
    <w:rsid w:val="00E95E2F"/>
    <w:rsid w:val="00E96282"/>
    <w:rsid w:val="00E96624"/>
    <w:rsid w:val="00E96774"/>
    <w:rsid w:val="00E9687E"/>
    <w:rsid w:val="00E9695C"/>
    <w:rsid w:val="00E96A58"/>
    <w:rsid w:val="00E96C2D"/>
    <w:rsid w:val="00E96CCC"/>
    <w:rsid w:val="00E96EE9"/>
    <w:rsid w:val="00E96F9D"/>
    <w:rsid w:val="00E97107"/>
    <w:rsid w:val="00E97370"/>
    <w:rsid w:val="00E97C98"/>
    <w:rsid w:val="00E97D93"/>
    <w:rsid w:val="00E97F7B"/>
    <w:rsid w:val="00EA05F1"/>
    <w:rsid w:val="00EA06E3"/>
    <w:rsid w:val="00EA095E"/>
    <w:rsid w:val="00EA0F46"/>
    <w:rsid w:val="00EA1294"/>
    <w:rsid w:val="00EA1323"/>
    <w:rsid w:val="00EA13F2"/>
    <w:rsid w:val="00EA1535"/>
    <w:rsid w:val="00EA18A5"/>
    <w:rsid w:val="00EA1CFB"/>
    <w:rsid w:val="00EA25D9"/>
    <w:rsid w:val="00EA2DD5"/>
    <w:rsid w:val="00EA326A"/>
    <w:rsid w:val="00EA341B"/>
    <w:rsid w:val="00EA3692"/>
    <w:rsid w:val="00EA3AD9"/>
    <w:rsid w:val="00EA3BDB"/>
    <w:rsid w:val="00EA3FC2"/>
    <w:rsid w:val="00EA4074"/>
    <w:rsid w:val="00EA41DF"/>
    <w:rsid w:val="00EA42A7"/>
    <w:rsid w:val="00EA4679"/>
    <w:rsid w:val="00EA4CAB"/>
    <w:rsid w:val="00EA4CF3"/>
    <w:rsid w:val="00EA512B"/>
    <w:rsid w:val="00EA527D"/>
    <w:rsid w:val="00EA54A6"/>
    <w:rsid w:val="00EA5886"/>
    <w:rsid w:val="00EA5926"/>
    <w:rsid w:val="00EA5D86"/>
    <w:rsid w:val="00EA5FA8"/>
    <w:rsid w:val="00EA6120"/>
    <w:rsid w:val="00EA624C"/>
    <w:rsid w:val="00EA636A"/>
    <w:rsid w:val="00EA6578"/>
    <w:rsid w:val="00EA657F"/>
    <w:rsid w:val="00EA6772"/>
    <w:rsid w:val="00EA6A66"/>
    <w:rsid w:val="00EA6B12"/>
    <w:rsid w:val="00EA6C27"/>
    <w:rsid w:val="00EA6FFE"/>
    <w:rsid w:val="00EA729E"/>
    <w:rsid w:val="00EA72BA"/>
    <w:rsid w:val="00EA72E9"/>
    <w:rsid w:val="00EA7FA7"/>
    <w:rsid w:val="00EB04A5"/>
    <w:rsid w:val="00EB0521"/>
    <w:rsid w:val="00EB063D"/>
    <w:rsid w:val="00EB0986"/>
    <w:rsid w:val="00EB0D2A"/>
    <w:rsid w:val="00EB10A6"/>
    <w:rsid w:val="00EB119A"/>
    <w:rsid w:val="00EB15A7"/>
    <w:rsid w:val="00EB1A30"/>
    <w:rsid w:val="00EB1B14"/>
    <w:rsid w:val="00EB1BEF"/>
    <w:rsid w:val="00EB1C45"/>
    <w:rsid w:val="00EB1F24"/>
    <w:rsid w:val="00EB1F8C"/>
    <w:rsid w:val="00EB233D"/>
    <w:rsid w:val="00EB235D"/>
    <w:rsid w:val="00EB250C"/>
    <w:rsid w:val="00EB2558"/>
    <w:rsid w:val="00EB2587"/>
    <w:rsid w:val="00EB2F03"/>
    <w:rsid w:val="00EB3107"/>
    <w:rsid w:val="00EB33A8"/>
    <w:rsid w:val="00EB3856"/>
    <w:rsid w:val="00EB3A1D"/>
    <w:rsid w:val="00EB3BF6"/>
    <w:rsid w:val="00EB4048"/>
    <w:rsid w:val="00EB4169"/>
    <w:rsid w:val="00EB431D"/>
    <w:rsid w:val="00EB4464"/>
    <w:rsid w:val="00EB4B66"/>
    <w:rsid w:val="00EB4C40"/>
    <w:rsid w:val="00EB4C9B"/>
    <w:rsid w:val="00EB4CA3"/>
    <w:rsid w:val="00EB5173"/>
    <w:rsid w:val="00EB58C5"/>
    <w:rsid w:val="00EB5A05"/>
    <w:rsid w:val="00EB5EE9"/>
    <w:rsid w:val="00EB6051"/>
    <w:rsid w:val="00EB638F"/>
    <w:rsid w:val="00EB673E"/>
    <w:rsid w:val="00EB6976"/>
    <w:rsid w:val="00EB6A4F"/>
    <w:rsid w:val="00EB6D13"/>
    <w:rsid w:val="00EB6F5F"/>
    <w:rsid w:val="00EB77B3"/>
    <w:rsid w:val="00EB77E8"/>
    <w:rsid w:val="00EB789A"/>
    <w:rsid w:val="00EB7CBB"/>
    <w:rsid w:val="00EB7FC9"/>
    <w:rsid w:val="00EC0265"/>
    <w:rsid w:val="00EC091C"/>
    <w:rsid w:val="00EC0CAA"/>
    <w:rsid w:val="00EC1426"/>
    <w:rsid w:val="00EC14C7"/>
    <w:rsid w:val="00EC1797"/>
    <w:rsid w:val="00EC1875"/>
    <w:rsid w:val="00EC1B0F"/>
    <w:rsid w:val="00EC1D70"/>
    <w:rsid w:val="00EC1DD1"/>
    <w:rsid w:val="00EC1DDD"/>
    <w:rsid w:val="00EC1DF1"/>
    <w:rsid w:val="00EC1FC3"/>
    <w:rsid w:val="00EC279D"/>
    <w:rsid w:val="00EC2A6A"/>
    <w:rsid w:val="00EC2D4C"/>
    <w:rsid w:val="00EC30B7"/>
    <w:rsid w:val="00EC3604"/>
    <w:rsid w:val="00EC376F"/>
    <w:rsid w:val="00EC3D04"/>
    <w:rsid w:val="00EC3DE6"/>
    <w:rsid w:val="00EC43CC"/>
    <w:rsid w:val="00EC492C"/>
    <w:rsid w:val="00EC4C4B"/>
    <w:rsid w:val="00EC4EEB"/>
    <w:rsid w:val="00EC516F"/>
    <w:rsid w:val="00EC5497"/>
    <w:rsid w:val="00EC5617"/>
    <w:rsid w:val="00EC5903"/>
    <w:rsid w:val="00EC5ABC"/>
    <w:rsid w:val="00EC5E4E"/>
    <w:rsid w:val="00EC5FEF"/>
    <w:rsid w:val="00EC642B"/>
    <w:rsid w:val="00EC6ACB"/>
    <w:rsid w:val="00EC6C39"/>
    <w:rsid w:val="00EC6EE4"/>
    <w:rsid w:val="00EC6F0D"/>
    <w:rsid w:val="00EC7A1A"/>
    <w:rsid w:val="00EC7FEE"/>
    <w:rsid w:val="00ED0040"/>
    <w:rsid w:val="00ED03BD"/>
    <w:rsid w:val="00ED04AE"/>
    <w:rsid w:val="00ED070B"/>
    <w:rsid w:val="00ED0B19"/>
    <w:rsid w:val="00ED0B57"/>
    <w:rsid w:val="00ED0BCA"/>
    <w:rsid w:val="00ED0C9F"/>
    <w:rsid w:val="00ED0DB2"/>
    <w:rsid w:val="00ED0DC2"/>
    <w:rsid w:val="00ED16C5"/>
    <w:rsid w:val="00ED1907"/>
    <w:rsid w:val="00ED1972"/>
    <w:rsid w:val="00ED211F"/>
    <w:rsid w:val="00ED219C"/>
    <w:rsid w:val="00ED21C6"/>
    <w:rsid w:val="00ED25AC"/>
    <w:rsid w:val="00ED2839"/>
    <w:rsid w:val="00ED2A9E"/>
    <w:rsid w:val="00ED3133"/>
    <w:rsid w:val="00ED3542"/>
    <w:rsid w:val="00ED3920"/>
    <w:rsid w:val="00ED3DDF"/>
    <w:rsid w:val="00ED3E8E"/>
    <w:rsid w:val="00ED41C0"/>
    <w:rsid w:val="00ED427D"/>
    <w:rsid w:val="00ED45E2"/>
    <w:rsid w:val="00ED493F"/>
    <w:rsid w:val="00ED49EE"/>
    <w:rsid w:val="00ED4A81"/>
    <w:rsid w:val="00ED5443"/>
    <w:rsid w:val="00ED56BA"/>
    <w:rsid w:val="00ED5835"/>
    <w:rsid w:val="00ED5A87"/>
    <w:rsid w:val="00ED5BA4"/>
    <w:rsid w:val="00ED5FCE"/>
    <w:rsid w:val="00ED6277"/>
    <w:rsid w:val="00ED6727"/>
    <w:rsid w:val="00ED6FEF"/>
    <w:rsid w:val="00ED74F8"/>
    <w:rsid w:val="00ED76D3"/>
    <w:rsid w:val="00ED7BA5"/>
    <w:rsid w:val="00EE04BD"/>
    <w:rsid w:val="00EE05C7"/>
    <w:rsid w:val="00EE05F6"/>
    <w:rsid w:val="00EE0945"/>
    <w:rsid w:val="00EE0C74"/>
    <w:rsid w:val="00EE0D5C"/>
    <w:rsid w:val="00EE0F34"/>
    <w:rsid w:val="00EE0FBB"/>
    <w:rsid w:val="00EE10D6"/>
    <w:rsid w:val="00EE113E"/>
    <w:rsid w:val="00EE12C1"/>
    <w:rsid w:val="00EE1687"/>
    <w:rsid w:val="00EE1889"/>
    <w:rsid w:val="00EE1B3B"/>
    <w:rsid w:val="00EE2436"/>
    <w:rsid w:val="00EE29CA"/>
    <w:rsid w:val="00EE2AA1"/>
    <w:rsid w:val="00EE2B44"/>
    <w:rsid w:val="00EE2D1E"/>
    <w:rsid w:val="00EE2F86"/>
    <w:rsid w:val="00EE31DC"/>
    <w:rsid w:val="00EE342A"/>
    <w:rsid w:val="00EE3664"/>
    <w:rsid w:val="00EE3865"/>
    <w:rsid w:val="00EE39EA"/>
    <w:rsid w:val="00EE3D05"/>
    <w:rsid w:val="00EE3D9F"/>
    <w:rsid w:val="00EE40A5"/>
    <w:rsid w:val="00EE40DD"/>
    <w:rsid w:val="00EE4350"/>
    <w:rsid w:val="00EE4611"/>
    <w:rsid w:val="00EE4AA9"/>
    <w:rsid w:val="00EE4EAB"/>
    <w:rsid w:val="00EE500B"/>
    <w:rsid w:val="00EE537D"/>
    <w:rsid w:val="00EE53EB"/>
    <w:rsid w:val="00EE580C"/>
    <w:rsid w:val="00EE5CA3"/>
    <w:rsid w:val="00EE621E"/>
    <w:rsid w:val="00EE63DA"/>
    <w:rsid w:val="00EE6422"/>
    <w:rsid w:val="00EE654F"/>
    <w:rsid w:val="00EE661F"/>
    <w:rsid w:val="00EE6CC4"/>
    <w:rsid w:val="00EE7013"/>
    <w:rsid w:val="00EE70D9"/>
    <w:rsid w:val="00EE774B"/>
    <w:rsid w:val="00EE7A69"/>
    <w:rsid w:val="00EE7EC6"/>
    <w:rsid w:val="00EF0040"/>
    <w:rsid w:val="00EF0553"/>
    <w:rsid w:val="00EF06C7"/>
    <w:rsid w:val="00EF073F"/>
    <w:rsid w:val="00EF0991"/>
    <w:rsid w:val="00EF0E2B"/>
    <w:rsid w:val="00EF0FD6"/>
    <w:rsid w:val="00EF1035"/>
    <w:rsid w:val="00EF1220"/>
    <w:rsid w:val="00EF1240"/>
    <w:rsid w:val="00EF1342"/>
    <w:rsid w:val="00EF13F1"/>
    <w:rsid w:val="00EF149B"/>
    <w:rsid w:val="00EF1B05"/>
    <w:rsid w:val="00EF1D81"/>
    <w:rsid w:val="00EF1EDB"/>
    <w:rsid w:val="00EF2184"/>
    <w:rsid w:val="00EF25D5"/>
    <w:rsid w:val="00EF2650"/>
    <w:rsid w:val="00EF2916"/>
    <w:rsid w:val="00EF31C2"/>
    <w:rsid w:val="00EF3499"/>
    <w:rsid w:val="00EF35A8"/>
    <w:rsid w:val="00EF37ED"/>
    <w:rsid w:val="00EF3B2F"/>
    <w:rsid w:val="00EF4018"/>
    <w:rsid w:val="00EF40CA"/>
    <w:rsid w:val="00EF4904"/>
    <w:rsid w:val="00EF4B85"/>
    <w:rsid w:val="00EF55C8"/>
    <w:rsid w:val="00EF56F0"/>
    <w:rsid w:val="00EF582E"/>
    <w:rsid w:val="00EF5D19"/>
    <w:rsid w:val="00EF5DB0"/>
    <w:rsid w:val="00EF5F71"/>
    <w:rsid w:val="00EF5F9F"/>
    <w:rsid w:val="00EF610F"/>
    <w:rsid w:val="00EF62C6"/>
    <w:rsid w:val="00EF6862"/>
    <w:rsid w:val="00EF6DD9"/>
    <w:rsid w:val="00EF6EA1"/>
    <w:rsid w:val="00EF70A5"/>
    <w:rsid w:val="00EF7134"/>
    <w:rsid w:val="00EF74A7"/>
    <w:rsid w:val="00EF74E9"/>
    <w:rsid w:val="00EF7517"/>
    <w:rsid w:val="00EF75AB"/>
    <w:rsid w:val="00EF7690"/>
    <w:rsid w:val="00EF7B95"/>
    <w:rsid w:val="00F000BA"/>
    <w:rsid w:val="00F003C9"/>
    <w:rsid w:val="00F005A4"/>
    <w:rsid w:val="00F00A8C"/>
    <w:rsid w:val="00F00F0B"/>
    <w:rsid w:val="00F017B1"/>
    <w:rsid w:val="00F01D88"/>
    <w:rsid w:val="00F0212F"/>
    <w:rsid w:val="00F023B3"/>
    <w:rsid w:val="00F02840"/>
    <w:rsid w:val="00F03105"/>
    <w:rsid w:val="00F032E1"/>
    <w:rsid w:val="00F03AC5"/>
    <w:rsid w:val="00F03ACC"/>
    <w:rsid w:val="00F03D06"/>
    <w:rsid w:val="00F03D89"/>
    <w:rsid w:val="00F03ECB"/>
    <w:rsid w:val="00F04078"/>
    <w:rsid w:val="00F0449B"/>
    <w:rsid w:val="00F04768"/>
    <w:rsid w:val="00F04B0F"/>
    <w:rsid w:val="00F0553D"/>
    <w:rsid w:val="00F05DF7"/>
    <w:rsid w:val="00F05E78"/>
    <w:rsid w:val="00F05F72"/>
    <w:rsid w:val="00F062E4"/>
    <w:rsid w:val="00F06374"/>
    <w:rsid w:val="00F06A6E"/>
    <w:rsid w:val="00F06C27"/>
    <w:rsid w:val="00F06C5A"/>
    <w:rsid w:val="00F06C92"/>
    <w:rsid w:val="00F06CEC"/>
    <w:rsid w:val="00F06D35"/>
    <w:rsid w:val="00F0703D"/>
    <w:rsid w:val="00F0714B"/>
    <w:rsid w:val="00F07372"/>
    <w:rsid w:val="00F0774D"/>
    <w:rsid w:val="00F077E5"/>
    <w:rsid w:val="00F07A12"/>
    <w:rsid w:val="00F07E11"/>
    <w:rsid w:val="00F106AD"/>
    <w:rsid w:val="00F10755"/>
    <w:rsid w:val="00F10783"/>
    <w:rsid w:val="00F1101C"/>
    <w:rsid w:val="00F11034"/>
    <w:rsid w:val="00F112E4"/>
    <w:rsid w:val="00F11963"/>
    <w:rsid w:val="00F11E62"/>
    <w:rsid w:val="00F11F71"/>
    <w:rsid w:val="00F128F0"/>
    <w:rsid w:val="00F12A72"/>
    <w:rsid w:val="00F12BB4"/>
    <w:rsid w:val="00F13077"/>
    <w:rsid w:val="00F13526"/>
    <w:rsid w:val="00F137F7"/>
    <w:rsid w:val="00F139A3"/>
    <w:rsid w:val="00F13A51"/>
    <w:rsid w:val="00F14015"/>
    <w:rsid w:val="00F1409B"/>
    <w:rsid w:val="00F141C9"/>
    <w:rsid w:val="00F1448D"/>
    <w:rsid w:val="00F14584"/>
    <w:rsid w:val="00F14623"/>
    <w:rsid w:val="00F14835"/>
    <w:rsid w:val="00F14A4B"/>
    <w:rsid w:val="00F14B46"/>
    <w:rsid w:val="00F14B57"/>
    <w:rsid w:val="00F14BE0"/>
    <w:rsid w:val="00F14D84"/>
    <w:rsid w:val="00F15D84"/>
    <w:rsid w:val="00F15E64"/>
    <w:rsid w:val="00F16199"/>
    <w:rsid w:val="00F16370"/>
    <w:rsid w:val="00F16C6D"/>
    <w:rsid w:val="00F16EDB"/>
    <w:rsid w:val="00F16EFB"/>
    <w:rsid w:val="00F16F7E"/>
    <w:rsid w:val="00F1701D"/>
    <w:rsid w:val="00F17562"/>
    <w:rsid w:val="00F1786F"/>
    <w:rsid w:val="00F17B4A"/>
    <w:rsid w:val="00F17BAC"/>
    <w:rsid w:val="00F17DCF"/>
    <w:rsid w:val="00F17F0B"/>
    <w:rsid w:val="00F20149"/>
    <w:rsid w:val="00F203B1"/>
    <w:rsid w:val="00F20AF4"/>
    <w:rsid w:val="00F20B70"/>
    <w:rsid w:val="00F20BC7"/>
    <w:rsid w:val="00F21043"/>
    <w:rsid w:val="00F2108E"/>
    <w:rsid w:val="00F2127D"/>
    <w:rsid w:val="00F2143D"/>
    <w:rsid w:val="00F215EF"/>
    <w:rsid w:val="00F217EC"/>
    <w:rsid w:val="00F21AFE"/>
    <w:rsid w:val="00F21B9C"/>
    <w:rsid w:val="00F21CF0"/>
    <w:rsid w:val="00F21E06"/>
    <w:rsid w:val="00F21F84"/>
    <w:rsid w:val="00F2214E"/>
    <w:rsid w:val="00F22387"/>
    <w:rsid w:val="00F2282B"/>
    <w:rsid w:val="00F22B79"/>
    <w:rsid w:val="00F22C77"/>
    <w:rsid w:val="00F22C94"/>
    <w:rsid w:val="00F22E95"/>
    <w:rsid w:val="00F22F4F"/>
    <w:rsid w:val="00F231E7"/>
    <w:rsid w:val="00F2377C"/>
    <w:rsid w:val="00F23A94"/>
    <w:rsid w:val="00F23E6F"/>
    <w:rsid w:val="00F23FA0"/>
    <w:rsid w:val="00F24345"/>
    <w:rsid w:val="00F24CA2"/>
    <w:rsid w:val="00F24CFC"/>
    <w:rsid w:val="00F24F75"/>
    <w:rsid w:val="00F25070"/>
    <w:rsid w:val="00F2508D"/>
    <w:rsid w:val="00F25114"/>
    <w:rsid w:val="00F25244"/>
    <w:rsid w:val="00F256BA"/>
    <w:rsid w:val="00F25785"/>
    <w:rsid w:val="00F25BBD"/>
    <w:rsid w:val="00F263C1"/>
    <w:rsid w:val="00F266B4"/>
    <w:rsid w:val="00F26839"/>
    <w:rsid w:val="00F26969"/>
    <w:rsid w:val="00F26B75"/>
    <w:rsid w:val="00F26BB4"/>
    <w:rsid w:val="00F26D12"/>
    <w:rsid w:val="00F272C8"/>
    <w:rsid w:val="00F2731F"/>
    <w:rsid w:val="00F2763A"/>
    <w:rsid w:val="00F27678"/>
    <w:rsid w:val="00F27697"/>
    <w:rsid w:val="00F27922"/>
    <w:rsid w:val="00F2798E"/>
    <w:rsid w:val="00F30250"/>
    <w:rsid w:val="00F3047A"/>
    <w:rsid w:val="00F30F77"/>
    <w:rsid w:val="00F31195"/>
    <w:rsid w:val="00F31555"/>
    <w:rsid w:val="00F316B5"/>
    <w:rsid w:val="00F31B63"/>
    <w:rsid w:val="00F31E38"/>
    <w:rsid w:val="00F31F13"/>
    <w:rsid w:val="00F321C8"/>
    <w:rsid w:val="00F32313"/>
    <w:rsid w:val="00F324CC"/>
    <w:rsid w:val="00F32690"/>
    <w:rsid w:val="00F3290C"/>
    <w:rsid w:val="00F32A67"/>
    <w:rsid w:val="00F32EDF"/>
    <w:rsid w:val="00F33168"/>
    <w:rsid w:val="00F3325B"/>
    <w:rsid w:val="00F334C9"/>
    <w:rsid w:val="00F335D4"/>
    <w:rsid w:val="00F337EA"/>
    <w:rsid w:val="00F33BAE"/>
    <w:rsid w:val="00F33C79"/>
    <w:rsid w:val="00F33CB9"/>
    <w:rsid w:val="00F33D06"/>
    <w:rsid w:val="00F33ED8"/>
    <w:rsid w:val="00F3418D"/>
    <w:rsid w:val="00F34B69"/>
    <w:rsid w:val="00F34D9C"/>
    <w:rsid w:val="00F35174"/>
    <w:rsid w:val="00F351E2"/>
    <w:rsid w:val="00F3526B"/>
    <w:rsid w:val="00F35464"/>
    <w:rsid w:val="00F35740"/>
    <w:rsid w:val="00F35C68"/>
    <w:rsid w:val="00F35C70"/>
    <w:rsid w:val="00F35E2C"/>
    <w:rsid w:val="00F35E43"/>
    <w:rsid w:val="00F35F82"/>
    <w:rsid w:val="00F35FB0"/>
    <w:rsid w:val="00F3611D"/>
    <w:rsid w:val="00F363BA"/>
    <w:rsid w:val="00F36444"/>
    <w:rsid w:val="00F364A3"/>
    <w:rsid w:val="00F36536"/>
    <w:rsid w:val="00F36616"/>
    <w:rsid w:val="00F368EA"/>
    <w:rsid w:val="00F36D8E"/>
    <w:rsid w:val="00F36F9A"/>
    <w:rsid w:val="00F37600"/>
    <w:rsid w:val="00F4020F"/>
    <w:rsid w:val="00F40ADE"/>
    <w:rsid w:val="00F40CBE"/>
    <w:rsid w:val="00F41895"/>
    <w:rsid w:val="00F41C3A"/>
    <w:rsid w:val="00F41D76"/>
    <w:rsid w:val="00F41FA5"/>
    <w:rsid w:val="00F42034"/>
    <w:rsid w:val="00F42499"/>
    <w:rsid w:val="00F4267F"/>
    <w:rsid w:val="00F4288B"/>
    <w:rsid w:val="00F4356C"/>
    <w:rsid w:val="00F43711"/>
    <w:rsid w:val="00F43975"/>
    <w:rsid w:val="00F44258"/>
    <w:rsid w:val="00F44325"/>
    <w:rsid w:val="00F44622"/>
    <w:rsid w:val="00F4486A"/>
    <w:rsid w:val="00F44D1F"/>
    <w:rsid w:val="00F44F43"/>
    <w:rsid w:val="00F44F88"/>
    <w:rsid w:val="00F45016"/>
    <w:rsid w:val="00F45580"/>
    <w:rsid w:val="00F45796"/>
    <w:rsid w:val="00F45966"/>
    <w:rsid w:val="00F45CAF"/>
    <w:rsid w:val="00F46129"/>
    <w:rsid w:val="00F464BA"/>
    <w:rsid w:val="00F46549"/>
    <w:rsid w:val="00F46607"/>
    <w:rsid w:val="00F4664E"/>
    <w:rsid w:val="00F46AD8"/>
    <w:rsid w:val="00F46DE4"/>
    <w:rsid w:val="00F470F1"/>
    <w:rsid w:val="00F4798A"/>
    <w:rsid w:val="00F47A28"/>
    <w:rsid w:val="00F47A6F"/>
    <w:rsid w:val="00F47D18"/>
    <w:rsid w:val="00F47FAA"/>
    <w:rsid w:val="00F5009A"/>
    <w:rsid w:val="00F502AF"/>
    <w:rsid w:val="00F502C4"/>
    <w:rsid w:val="00F50648"/>
    <w:rsid w:val="00F50A74"/>
    <w:rsid w:val="00F50B19"/>
    <w:rsid w:val="00F50BCF"/>
    <w:rsid w:val="00F50E89"/>
    <w:rsid w:val="00F50F30"/>
    <w:rsid w:val="00F5172B"/>
    <w:rsid w:val="00F51C21"/>
    <w:rsid w:val="00F51F36"/>
    <w:rsid w:val="00F51FE2"/>
    <w:rsid w:val="00F52029"/>
    <w:rsid w:val="00F52179"/>
    <w:rsid w:val="00F52345"/>
    <w:rsid w:val="00F526DF"/>
    <w:rsid w:val="00F5273D"/>
    <w:rsid w:val="00F5284F"/>
    <w:rsid w:val="00F52E08"/>
    <w:rsid w:val="00F52FAC"/>
    <w:rsid w:val="00F53009"/>
    <w:rsid w:val="00F53032"/>
    <w:rsid w:val="00F53230"/>
    <w:rsid w:val="00F536A3"/>
    <w:rsid w:val="00F53971"/>
    <w:rsid w:val="00F53C8F"/>
    <w:rsid w:val="00F53D96"/>
    <w:rsid w:val="00F543A3"/>
    <w:rsid w:val="00F54754"/>
    <w:rsid w:val="00F5494F"/>
    <w:rsid w:val="00F54A3E"/>
    <w:rsid w:val="00F54EEC"/>
    <w:rsid w:val="00F54F6B"/>
    <w:rsid w:val="00F550BE"/>
    <w:rsid w:val="00F55326"/>
    <w:rsid w:val="00F55427"/>
    <w:rsid w:val="00F5568B"/>
    <w:rsid w:val="00F55944"/>
    <w:rsid w:val="00F5598F"/>
    <w:rsid w:val="00F55A47"/>
    <w:rsid w:val="00F55A7E"/>
    <w:rsid w:val="00F563F3"/>
    <w:rsid w:val="00F56653"/>
    <w:rsid w:val="00F56901"/>
    <w:rsid w:val="00F56C69"/>
    <w:rsid w:val="00F56C7F"/>
    <w:rsid w:val="00F56CA3"/>
    <w:rsid w:val="00F56FD5"/>
    <w:rsid w:val="00F571E4"/>
    <w:rsid w:val="00F578EF"/>
    <w:rsid w:val="00F57B6C"/>
    <w:rsid w:val="00F57C80"/>
    <w:rsid w:val="00F57DAC"/>
    <w:rsid w:val="00F57FDC"/>
    <w:rsid w:val="00F604F4"/>
    <w:rsid w:val="00F6062B"/>
    <w:rsid w:val="00F606AD"/>
    <w:rsid w:val="00F60D42"/>
    <w:rsid w:val="00F616AD"/>
    <w:rsid w:val="00F61AF5"/>
    <w:rsid w:val="00F61F33"/>
    <w:rsid w:val="00F620A8"/>
    <w:rsid w:val="00F623B9"/>
    <w:rsid w:val="00F6249F"/>
    <w:rsid w:val="00F62533"/>
    <w:rsid w:val="00F62779"/>
    <w:rsid w:val="00F62938"/>
    <w:rsid w:val="00F62D84"/>
    <w:rsid w:val="00F630AE"/>
    <w:rsid w:val="00F630B2"/>
    <w:rsid w:val="00F63111"/>
    <w:rsid w:val="00F63296"/>
    <w:rsid w:val="00F633B5"/>
    <w:rsid w:val="00F633B9"/>
    <w:rsid w:val="00F63504"/>
    <w:rsid w:val="00F63932"/>
    <w:rsid w:val="00F63A99"/>
    <w:rsid w:val="00F63B2C"/>
    <w:rsid w:val="00F641E4"/>
    <w:rsid w:val="00F6427D"/>
    <w:rsid w:val="00F644E9"/>
    <w:rsid w:val="00F6460A"/>
    <w:rsid w:val="00F6470F"/>
    <w:rsid w:val="00F64ADA"/>
    <w:rsid w:val="00F64DEE"/>
    <w:rsid w:val="00F653D9"/>
    <w:rsid w:val="00F65612"/>
    <w:rsid w:val="00F65B46"/>
    <w:rsid w:val="00F65C10"/>
    <w:rsid w:val="00F65EA8"/>
    <w:rsid w:val="00F6607F"/>
    <w:rsid w:val="00F660AE"/>
    <w:rsid w:val="00F664A0"/>
    <w:rsid w:val="00F665B5"/>
    <w:rsid w:val="00F666D0"/>
    <w:rsid w:val="00F666D1"/>
    <w:rsid w:val="00F66756"/>
    <w:rsid w:val="00F667F1"/>
    <w:rsid w:val="00F66AEE"/>
    <w:rsid w:val="00F66B03"/>
    <w:rsid w:val="00F66D8C"/>
    <w:rsid w:val="00F66FB2"/>
    <w:rsid w:val="00F66FF2"/>
    <w:rsid w:val="00F67529"/>
    <w:rsid w:val="00F67801"/>
    <w:rsid w:val="00F678CF"/>
    <w:rsid w:val="00F67D8D"/>
    <w:rsid w:val="00F70784"/>
    <w:rsid w:val="00F707D8"/>
    <w:rsid w:val="00F70B40"/>
    <w:rsid w:val="00F70C03"/>
    <w:rsid w:val="00F71205"/>
    <w:rsid w:val="00F712C9"/>
    <w:rsid w:val="00F7138B"/>
    <w:rsid w:val="00F71465"/>
    <w:rsid w:val="00F715E5"/>
    <w:rsid w:val="00F71A62"/>
    <w:rsid w:val="00F71AD2"/>
    <w:rsid w:val="00F71C29"/>
    <w:rsid w:val="00F71DC8"/>
    <w:rsid w:val="00F7209C"/>
    <w:rsid w:val="00F7283C"/>
    <w:rsid w:val="00F72B0E"/>
    <w:rsid w:val="00F72BC4"/>
    <w:rsid w:val="00F72D05"/>
    <w:rsid w:val="00F730EB"/>
    <w:rsid w:val="00F7316C"/>
    <w:rsid w:val="00F733FB"/>
    <w:rsid w:val="00F73B89"/>
    <w:rsid w:val="00F73C21"/>
    <w:rsid w:val="00F740BC"/>
    <w:rsid w:val="00F742F1"/>
    <w:rsid w:val="00F743C9"/>
    <w:rsid w:val="00F74B16"/>
    <w:rsid w:val="00F74B80"/>
    <w:rsid w:val="00F75E4B"/>
    <w:rsid w:val="00F75F35"/>
    <w:rsid w:val="00F76146"/>
    <w:rsid w:val="00F76159"/>
    <w:rsid w:val="00F76418"/>
    <w:rsid w:val="00F76850"/>
    <w:rsid w:val="00F7689E"/>
    <w:rsid w:val="00F76B67"/>
    <w:rsid w:val="00F76C44"/>
    <w:rsid w:val="00F76FDB"/>
    <w:rsid w:val="00F77534"/>
    <w:rsid w:val="00F77582"/>
    <w:rsid w:val="00F77631"/>
    <w:rsid w:val="00F77868"/>
    <w:rsid w:val="00F77957"/>
    <w:rsid w:val="00F802D1"/>
    <w:rsid w:val="00F80692"/>
    <w:rsid w:val="00F8078A"/>
    <w:rsid w:val="00F80812"/>
    <w:rsid w:val="00F80AB2"/>
    <w:rsid w:val="00F80D1C"/>
    <w:rsid w:val="00F811BB"/>
    <w:rsid w:val="00F8175A"/>
    <w:rsid w:val="00F81808"/>
    <w:rsid w:val="00F818AF"/>
    <w:rsid w:val="00F818FA"/>
    <w:rsid w:val="00F81CBE"/>
    <w:rsid w:val="00F81F00"/>
    <w:rsid w:val="00F821D4"/>
    <w:rsid w:val="00F82388"/>
    <w:rsid w:val="00F8248E"/>
    <w:rsid w:val="00F82579"/>
    <w:rsid w:val="00F829C5"/>
    <w:rsid w:val="00F82AC0"/>
    <w:rsid w:val="00F82BE6"/>
    <w:rsid w:val="00F830E7"/>
    <w:rsid w:val="00F834A6"/>
    <w:rsid w:val="00F83B19"/>
    <w:rsid w:val="00F83B29"/>
    <w:rsid w:val="00F83EDB"/>
    <w:rsid w:val="00F841B9"/>
    <w:rsid w:val="00F84245"/>
    <w:rsid w:val="00F84D87"/>
    <w:rsid w:val="00F84DAF"/>
    <w:rsid w:val="00F861A6"/>
    <w:rsid w:val="00F865A9"/>
    <w:rsid w:val="00F866E4"/>
    <w:rsid w:val="00F8670E"/>
    <w:rsid w:val="00F867E4"/>
    <w:rsid w:val="00F868EC"/>
    <w:rsid w:val="00F86ABC"/>
    <w:rsid w:val="00F86D6D"/>
    <w:rsid w:val="00F87404"/>
    <w:rsid w:val="00F87497"/>
    <w:rsid w:val="00F876BD"/>
    <w:rsid w:val="00F879A2"/>
    <w:rsid w:val="00F87ACB"/>
    <w:rsid w:val="00F87ADC"/>
    <w:rsid w:val="00F87CF7"/>
    <w:rsid w:val="00F90073"/>
    <w:rsid w:val="00F9016E"/>
    <w:rsid w:val="00F9024A"/>
    <w:rsid w:val="00F9035A"/>
    <w:rsid w:val="00F90497"/>
    <w:rsid w:val="00F9050C"/>
    <w:rsid w:val="00F908D4"/>
    <w:rsid w:val="00F90DD2"/>
    <w:rsid w:val="00F91389"/>
    <w:rsid w:val="00F9139E"/>
    <w:rsid w:val="00F91452"/>
    <w:rsid w:val="00F914DC"/>
    <w:rsid w:val="00F91668"/>
    <w:rsid w:val="00F91F49"/>
    <w:rsid w:val="00F92074"/>
    <w:rsid w:val="00F9288A"/>
    <w:rsid w:val="00F928B9"/>
    <w:rsid w:val="00F92A8E"/>
    <w:rsid w:val="00F92C53"/>
    <w:rsid w:val="00F9351B"/>
    <w:rsid w:val="00F938E9"/>
    <w:rsid w:val="00F93AD2"/>
    <w:rsid w:val="00F93E3A"/>
    <w:rsid w:val="00F93FE1"/>
    <w:rsid w:val="00F9428F"/>
    <w:rsid w:val="00F9453C"/>
    <w:rsid w:val="00F94B62"/>
    <w:rsid w:val="00F9517F"/>
    <w:rsid w:val="00F95702"/>
    <w:rsid w:val="00F9576E"/>
    <w:rsid w:val="00F95B2C"/>
    <w:rsid w:val="00F95BE1"/>
    <w:rsid w:val="00F95CB3"/>
    <w:rsid w:val="00F95EFD"/>
    <w:rsid w:val="00F9603D"/>
    <w:rsid w:val="00F963F3"/>
    <w:rsid w:val="00F96646"/>
    <w:rsid w:val="00F969D1"/>
    <w:rsid w:val="00F96A2F"/>
    <w:rsid w:val="00F96B58"/>
    <w:rsid w:val="00F96B7D"/>
    <w:rsid w:val="00F96BD6"/>
    <w:rsid w:val="00F96D06"/>
    <w:rsid w:val="00F9711A"/>
    <w:rsid w:val="00F976CC"/>
    <w:rsid w:val="00F97ABD"/>
    <w:rsid w:val="00F97BAA"/>
    <w:rsid w:val="00F97BBC"/>
    <w:rsid w:val="00F97E1E"/>
    <w:rsid w:val="00FA012C"/>
    <w:rsid w:val="00FA0134"/>
    <w:rsid w:val="00FA0174"/>
    <w:rsid w:val="00FA0491"/>
    <w:rsid w:val="00FA049C"/>
    <w:rsid w:val="00FA05D7"/>
    <w:rsid w:val="00FA0819"/>
    <w:rsid w:val="00FA0841"/>
    <w:rsid w:val="00FA099F"/>
    <w:rsid w:val="00FA09D8"/>
    <w:rsid w:val="00FA0A53"/>
    <w:rsid w:val="00FA0D76"/>
    <w:rsid w:val="00FA0F6B"/>
    <w:rsid w:val="00FA0F9C"/>
    <w:rsid w:val="00FA18FA"/>
    <w:rsid w:val="00FA23BE"/>
    <w:rsid w:val="00FA2518"/>
    <w:rsid w:val="00FA2A05"/>
    <w:rsid w:val="00FA2FF5"/>
    <w:rsid w:val="00FA306A"/>
    <w:rsid w:val="00FA323A"/>
    <w:rsid w:val="00FA3317"/>
    <w:rsid w:val="00FA338A"/>
    <w:rsid w:val="00FA3882"/>
    <w:rsid w:val="00FA39AC"/>
    <w:rsid w:val="00FA3CEE"/>
    <w:rsid w:val="00FA3EAE"/>
    <w:rsid w:val="00FA419C"/>
    <w:rsid w:val="00FA41CE"/>
    <w:rsid w:val="00FA4473"/>
    <w:rsid w:val="00FA44CD"/>
    <w:rsid w:val="00FA4961"/>
    <w:rsid w:val="00FA4B9D"/>
    <w:rsid w:val="00FA4CA2"/>
    <w:rsid w:val="00FA567A"/>
    <w:rsid w:val="00FA58E2"/>
    <w:rsid w:val="00FA5EB3"/>
    <w:rsid w:val="00FA6167"/>
    <w:rsid w:val="00FA62D1"/>
    <w:rsid w:val="00FA6367"/>
    <w:rsid w:val="00FA6576"/>
    <w:rsid w:val="00FA682A"/>
    <w:rsid w:val="00FA6AF4"/>
    <w:rsid w:val="00FA6B11"/>
    <w:rsid w:val="00FA6E0D"/>
    <w:rsid w:val="00FA7103"/>
    <w:rsid w:val="00FA77D9"/>
    <w:rsid w:val="00FA7855"/>
    <w:rsid w:val="00FA798A"/>
    <w:rsid w:val="00FA7BC3"/>
    <w:rsid w:val="00FA7D90"/>
    <w:rsid w:val="00FA7DA1"/>
    <w:rsid w:val="00FB0090"/>
    <w:rsid w:val="00FB02EE"/>
    <w:rsid w:val="00FB07C9"/>
    <w:rsid w:val="00FB149B"/>
    <w:rsid w:val="00FB14CC"/>
    <w:rsid w:val="00FB176A"/>
    <w:rsid w:val="00FB194E"/>
    <w:rsid w:val="00FB1A07"/>
    <w:rsid w:val="00FB2212"/>
    <w:rsid w:val="00FB222B"/>
    <w:rsid w:val="00FB2930"/>
    <w:rsid w:val="00FB2B09"/>
    <w:rsid w:val="00FB33BD"/>
    <w:rsid w:val="00FB34EE"/>
    <w:rsid w:val="00FB388F"/>
    <w:rsid w:val="00FB3B8F"/>
    <w:rsid w:val="00FB3D60"/>
    <w:rsid w:val="00FB405B"/>
    <w:rsid w:val="00FB426E"/>
    <w:rsid w:val="00FB430D"/>
    <w:rsid w:val="00FB4364"/>
    <w:rsid w:val="00FB44FF"/>
    <w:rsid w:val="00FB4C02"/>
    <w:rsid w:val="00FB4C5F"/>
    <w:rsid w:val="00FB5180"/>
    <w:rsid w:val="00FB5183"/>
    <w:rsid w:val="00FB542A"/>
    <w:rsid w:val="00FB5D8C"/>
    <w:rsid w:val="00FB602F"/>
    <w:rsid w:val="00FB6144"/>
    <w:rsid w:val="00FB6386"/>
    <w:rsid w:val="00FB6780"/>
    <w:rsid w:val="00FB6B5E"/>
    <w:rsid w:val="00FB6D1A"/>
    <w:rsid w:val="00FB6F54"/>
    <w:rsid w:val="00FB704D"/>
    <w:rsid w:val="00FB7086"/>
    <w:rsid w:val="00FB714C"/>
    <w:rsid w:val="00FB7153"/>
    <w:rsid w:val="00FB73E1"/>
    <w:rsid w:val="00FB7806"/>
    <w:rsid w:val="00FB7AA0"/>
    <w:rsid w:val="00FB7D67"/>
    <w:rsid w:val="00FB7F7A"/>
    <w:rsid w:val="00FC063B"/>
    <w:rsid w:val="00FC0EE2"/>
    <w:rsid w:val="00FC11D2"/>
    <w:rsid w:val="00FC1BB4"/>
    <w:rsid w:val="00FC1CFD"/>
    <w:rsid w:val="00FC1D4B"/>
    <w:rsid w:val="00FC21A6"/>
    <w:rsid w:val="00FC21D2"/>
    <w:rsid w:val="00FC2585"/>
    <w:rsid w:val="00FC2856"/>
    <w:rsid w:val="00FC28C8"/>
    <w:rsid w:val="00FC294F"/>
    <w:rsid w:val="00FC2A1B"/>
    <w:rsid w:val="00FC2B75"/>
    <w:rsid w:val="00FC312D"/>
    <w:rsid w:val="00FC3206"/>
    <w:rsid w:val="00FC33E7"/>
    <w:rsid w:val="00FC3847"/>
    <w:rsid w:val="00FC4206"/>
    <w:rsid w:val="00FC4312"/>
    <w:rsid w:val="00FC48AB"/>
    <w:rsid w:val="00FC4A31"/>
    <w:rsid w:val="00FC4BEF"/>
    <w:rsid w:val="00FC5455"/>
    <w:rsid w:val="00FC5636"/>
    <w:rsid w:val="00FC5836"/>
    <w:rsid w:val="00FC5871"/>
    <w:rsid w:val="00FC58C7"/>
    <w:rsid w:val="00FC5B61"/>
    <w:rsid w:val="00FC5C7F"/>
    <w:rsid w:val="00FC628D"/>
    <w:rsid w:val="00FC62F3"/>
    <w:rsid w:val="00FC66CA"/>
    <w:rsid w:val="00FC68BA"/>
    <w:rsid w:val="00FC6B23"/>
    <w:rsid w:val="00FC6BBA"/>
    <w:rsid w:val="00FC6D1A"/>
    <w:rsid w:val="00FC6E41"/>
    <w:rsid w:val="00FC7071"/>
    <w:rsid w:val="00FC70BC"/>
    <w:rsid w:val="00FC71FE"/>
    <w:rsid w:val="00FC7344"/>
    <w:rsid w:val="00FC7471"/>
    <w:rsid w:val="00FC75F1"/>
    <w:rsid w:val="00FC7763"/>
    <w:rsid w:val="00FC780B"/>
    <w:rsid w:val="00FC7966"/>
    <w:rsid w:val="00FC79CC"/>
    <w:rsid w:val="00FC79E8"/>
    <w:rsid w:val="00FC7AF0"/>
    <w:rsid w:val="00FC7DC5"/>
    <w:rsid w:val="00FD02B0"/>
    <w:rsid w:val="00FD034F"/>
    <w:rsid w:val="00FD06EE"/>
    <w:rsid w:val="00FD0A36"/>
    <w:rsid w:val="00FD109B"/>
    <w:rsid w:val="00FD122C"/>
    <w:rsid w:val="00FD1574"/>
    <w:rsid w:val="00FD1769"/>
    <w:rsid w:val="00FD192F"/>
    <w:rsid w:val="00FD1C87"/>
    <w:rsid w:val="00FD1E46"/>
    <w:rsid w:val="00FD1F80"/>
    <w:rsid w:val="00FD2BBC"/>
    <w:rsid w:val="00FD2BEE"/>
    <w:rsid w:val="00FD2DBD"/>
    <w:rsid w:val="00FD31A9"/>
    <w:rsid w:val="00FD3817"/>
    <w:rsid w:val="00FD394D"/>
    <w:rsid w:val="00FD3C0E"/>
    <w:rsid w:val="00FD4619"/>
    <w:rsid w:val="00FD464C"/>
    <w:rsid w:val="00FD468A"/>
    <w:rsid w:val="00FD4907"/>
    <w:rsid w:val="00FD50B2"/>
    <w:rsid w:val="00FD5609"/>
    <w:rsid w:val="00FD58B3"/>
    <w:rsid w:val="00FD5A75"/>
    <w:rsid w:val="00FD5D9C"/>
    <w:rsid w:val="00FD5E97"/>
    <w:rsid w:val="00FD616D"/>
    <w:rsid w:val="00FD6941"/>
    <w:rsid w:val="00FD6D32"/>
    <w:rsid w:val="00FD6DD0"/>
    <w:rsid w:val="00FD6E2F"/>
    <w:rsid w:val="00FD6F66"/>
    <w:rsid w:val="00FD7231"/>
    <w:rsid w:val="00FD72A4"/>
    <w:rsid w:val="00FD7886"/>
    <w:rsid w:val="00FD78BD"/>
    <w:rsid w:val="00FD7D86"/>
    <w:rsid w:val="00FE00AB"/>
    <w:rsid w:val="00FE00F6"/>
    <w:rsid w:val="00FE0685"/>
    <w:rsid w:val="00FE0CB3"/>
    <w:rsid w:val="00FE0D60"/>
    <w:rsid w:val="00FE12B8"/>
    <w:rsid w:val="00FE14DD"/>
    <w:rsid w:val="00FE1BA4"/>
    <w:rsid w:val="00FE1BB2"/>
    <w:rsid w:val="00FE2180"/>
    <w:rsid w:val="00FE231D"/>
    <w:rsid w:val="00FE2914"/>
    <w:rsid w:val="00FE2A1B"/>
    <w:rsid w:val="00FE2CDB"/>
    <w:rsid w:val="00FE2D61"/>
    <w:rsid w:val="00FE3ADB"/>
    <w:rsid w:val="00FE3D52"/>
    <w:rsid w:val="00FE3D73"/>
    <w:rsid w:val="00FE3E2E"/>
    <w:rsid w:val="00FE3EEF"/>
    <w:rsid w:val="00FE463F"/>
    <w:rsid w:val="00FE46B4"/>
    <w:rsid w:val="00FE4D54"/>
    <w:rsid w:val="00FE4E4B"/>
    <w:rsid w:val="00FE4F22"/>
    <w:rsid w:val="00FE4F2F"/>
    <w:rsid w:val="00FE50F7"/>
    <w:rsid w:val="00FE514F"/>
    <w:rsid w:val="00FE53EE"/>
    <w:rsid w:val="00FE581A"/>
    <w:rsid w:val="00FE5B16"/>
    <w:rsid w:val="00FE5CF6"/>
    <w:rsid w:val="00FE5D6A"/>
    <w:rsid w:val="00FE6062"/>
    <w:rsid w:val="00FE61B4"/>
    <w:rsid w:val="00FE63B7"/>
    <w:rsid w:val="00FE6713"/>
    <w:rsid w:val="00FE68D5"/>
    <w:rsid w:val="00FE69A8"/>
    <w:rsid w:val="00FE6A24"/>
    <w:rsid w:val="00FE6B24"/>
    <w:rsid w:val="00FE6BC3"/>
    <w:rsid w:val="00FE6C68"/>
    <w:rsid w:val="00FE6DEE"/>
    <w:rsid w:val="00FE6E5F"/>
    <w:rsid w:val="00FE72F6"/>
    <w:rsid w:val="00FE73E6"/>
    <w:rsid w:val="00FE74DB"/>
    <w:rsid w:val="00FE788B"/>
    <w:rsid w:val="00FE7C2D"/>
    <w:rsid w:val="00FF0902"/>
    <w:rsid w:val="00FF0ACD"/>
    <w:rsid w:val="00FF0BAC"/>
    <w:rsid w:val="00FF0CD9"/>
    <w:rsid w:val="00FF120A"/>
    <w:rsid w:val="00FF157D"/>
    <w:rsid w:val="00FF17D4"/>
    <w:rsid w:val="00FF18D5"/>
    <w:rsid w:val="00FF1E46"/>
    <w:rsid w:val="00FF230B"/>
    <w:rsid w:val="00FF2864"/>
    <w:rsid w:val="00FF295E"/>
    <w:rsid w:val="00FF2AE6"/>
    <w:rsid w:val="00FF2CD8"/>
    <w:rsid w:val="00FF3171"/>
    <w:rsid w:val="00FF3402"/>
    <w:rsid w:val="00FF3515"/>
    <w:rsid w:val="00FF38C5"/>
    <w:rsid w:val="00FF3B52"/>
    <w:rsid w:val="00FF3DD0"/>
    <w:rsid w:val="00FF405C"/>
    <w:rsid w:val="00FF4220"/>
    <w:rsid w:val="00FF4979"/>
    <w:rsid w:val="00FF4A7F"/>
    <w:rsid w:val="00FF4B9E"/>
    <w:rsid w:val="00FF4F60"/>
    <w:rsid w:val="00FF5558"/>
    <w:rsid w:val="00FF55AF"/>
    <w:rsid w:val="00FF55C8"/>
    <w:rsid w:val="00FF6644"/>
    <w:rsid w:val="00FF679A"/>
    <w:rsid w:val="00FF6832"/>
    <w:rsid w:val="00FF6C17"/>
    <w:rsid w:val="00FF6F85"/>
    <w:rsid w:val="00FF7000"/>
    <w:rsid w:val="00FF73AE"/>
    <w:rsid w:val="00FF73FD"/>
    <w:rsid w:val="00FF7407"/>
    <w:rsid w:val="00FF756C"/>
    <w:rsid w:val="00FF7D00"/>
    <w:rsid w:val="00FF7EBB"/>
    <w:rsid w:val="01A47FEF"/>
    <w:rsid w:val="020B3CA3"/>
    <w:rsid w:val="036F2398"/>
    <w:rsid w:val="055A5C14"/>
    <w:rsid w:val="05AF61CB"/>
    <w:rsid w:val="07277F9F"/>
    <w:rsid w:val="0BD55CB2"/>
    <w:rsid w:val="0C6F0253"/>
    <w:rsid w:val="0DCD2E38"/>
    <w:rsid w:val="0DF12210"/>
    <w:rsid w:val="0E8B34BF"/>
    <w:rsid w:val="0EA67A84"/>
    <w:rsid w:val="0EB00737"/>
    <w:rsid w:val="0EC013D7"/>
    <w:rsid w:val="0FA246F3"/>
    <w:rsid w:val="0FD5012A"/>
    <w:rsid w:val="11BF1446"/>
    <w:rsid w:val="122D3EAF"/>
    <w:rsid w:val="126533BB"/>
    <w:rsid w:val="13FD150A"/>
    <w:rsid w:val="14A21318"/>
    <w:rsid w:val="15A5514E"/>
    <w:rsid w:val="160543AE"/>
    <w:rsid w:val="16F72CB9"/>
    <w:rsid w:val="17245FF7"/>
    <w:rsid w:val="17874A7A"/>
    <w:rsid w:val="1A3851B5"/>
    <w:rsid w:val="1AA01560"/>
    <w:rsid w:val="1BA90DB7"/>
    <w:rsid w:val="1BD34104"/>
    <w:rsid w:val="1EA23499"/>
    <w:rsid w:val="1FE95D57"/>
    <w:rsid w:val="21432395"/>
    <w:rsid w:val="219114E1"/>
    <w:rsid w:val="21DB7963"/>
    <w:rsid w:val="22313065"/>
    <w:rsid w:val="22631838"/>
    <w:rsid w:val="2270387C"/>
    <w:rsid w:val="23774B67"/>
    <w:rsid w:val="256F6369"/>
    <w:rsid w:val="25A71015"/>
    <w:rsid w:val="25E80596"/>
    <w:rsid w:val="260D383B"/>
    <w:rsid w:val="263B17C8"/>
    <w:rsid w:val="269167D3"/>
    <w:rsid w:val="26BB6249"/>
    <w:rsid w:val="281A3238"/>
    <w:rsid w:val="28BF6E9C"/>
    <w:rsid w:val="28E12AAF"/>
    <w:rsid w:val="299D52CE"/>
    <w:rsid w:val="2A3C7759"/>
    <w:rsid w:val="2AA41C28"/>
    <w:rsid w:val="2DD578EF"/>
    <w:rsid w:val="2E4A1577"/>
    <w:rsid w:val="2FBA6AEB"/>
    <w:rsid w:val="30542084"/>
    <w:rsid w:val="30924F9F"/>
    <w:rsid w:val="32193BA3"/>
    <w:rsid w:val="33B03C1D"/>
    <w:rsid w:val="352E4626"/>
    <w:rsid w:val="3B533ACA"/>
    <w:rsid w:val="3BD936F1"/>
    <w:rsid w:val="3CEA5045"/>
    <w:rsid w:val="3DCB6307"/>
    <w:rsid w:val="3E62573F"/>
    <w:rsid w:val="3F073682"/>
    <w:rsid w:val="415831D0"/>
    <w:rsid w:val="416720C9"/>
    <w:rsid w:val="426B20BE"/>
    <w:rsid w:val="441E63FE"/>
    <w:rsid w:val="44687A85"/>
    <w:rsid w:val="44B60C31"/>
    <w:rsid w:val="44CF05DE"/>
    <w:rsid w:val="45992680"/>
    <w:rsid w:val="45DA3B17"/>
    <w:rsid w:val="46DA4082"/>
    <w:rsid w:val="47742FA8"/>
    <w:rsid w:val="47D01EDF"/>
    <w:rsid w:val="47FD1AB4"/>
    <w:rsid w:val="48984F57"/>
    <w:rsid w:val="48E757E7"/>
    <w:rsid w:val="4ABD0879"/>
    <w:rsid w:val="4BFD69BF"/>
    <w:rsid w:val="4C18525B"/>
    <w:rsid w:val="4C467730"/>
    <w:rsid w:val="4E1B3EF5"/>
    <w:rsid w:val="4EE97039"/>
    <w:rsid w:val="50107715"/>
    <w:rsid w:val="506B4678"/>
    <w:rsid w:val="50875053"/>
    <w:rsid w:val="51660B07"/>
    <w:rsid w:val="52B21504"/>
    <w:rsid w:val="538E5A76"/>
    <w:rsid w:val="54481B69"/>
    <w:rsid w:val="545A561D"/>
    <w:rsid w:val="55093596"/>
    <w:rsid w:val="55DE7A8C"/>
    <w:rsid w:val="5764572A"/>
    <w:rsid w:val="5A9E0C11"/>
    <w:rsid w:val="619D4A7D"/>
    <w:rsid w:val="62084158"/>
    <w:rsid w:val="62D37C04"/>
    <w:rsid w:val="631B15B3"/>
    <w:rsid w:val="63635F95"/>
    <w:rsid w:val="655853F4"/>
    <w:rsid w:val="65C0056B"/>
    <w:rsid w:val="66E777E3"/>
    <w:rsid w:val="68C72DF3"/>
    <w:rsid w:val="68CE14B1"/>
    <w:rsid w:val="6ADB2042"/>
    <w:rsid w:val="6C152D75"/>
    <w:rsid w:val="6D290774"/>
    <w:rsid w:val="6F296AE3"/>
    <w:rsid w:val="708232E0"/>
    <w:rsid w:val="71377096"/>
    <w:rsid w:val="72A37B04"/>
    <w:rsid w:val="74DC3928"/>
    <w:rsid w:val="762C0527"/>
    <w:rsid w:val="77627814"/>
    <w:rsid w:val="77A10BC2"/>
    <w:rsid w:val="79202621"/>
    <w:rsid w:val="798058E5"/>
    <w:rsid w:val="799637BE"/>
    <w:rsid w:val="79FA3E9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qFormat="1" w:uiPriority="0" w:semiHidden="0" w:name="index 4"/>
    <w:lsdException w:qFormat="1" w:unhideWhenUsed="0" w:uiPriority="0" w:semiHidden="0"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0" w:semiHidden="0"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iPriority="0" w:semiHidden="0" w:name="endnote reference"/>
    <w:lsdException w:qFormat="1" w:unhideWhenUsed="0" w:uiPriority="0" w:semiHidden="0" w:name="endnote text"/>
    <w:lsdException w:uiPriority="99" w:name="table of authorities"/>
    <w:lsdException w:uiPriority="99" w:name="macro"/>
    <w:lsdException w:qFormat="1" w:uiPriority="0" w:semiHidden="0"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qFormat="1" w:unhideWhenUsed="0" w:uiPriority="0" w:semiHidden="0" w:name="List Continue 4"/>
    <w:lsdException w:qFormat="1" w:unhideWhenUsed="0" w:uiPriority="0" w:semiHidden="0"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99" w:semiHidden="0" w:name="Body Text Indent 3"/>
    <w:lsdException w:uiPriority="99"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iPriority="99" w:semiHidden="0" w:name="HTML Code"/>
    <w:lsdException w:uiPriority="99" w:name="HTML Definition"/>
    <w:lsdException w:qFormat="1" w:uiPriority="99" w:semiHidden="0" w:name="HTML Keyboard"/>
    <w:lsdException w:qFormat="1" w:uiPriority="99" w:semiHidden="0" w:name="HTML Preformatted"/>
    <w:lsdException w:qFormat="1" w:uiPriority="99" w:semiHidden="0"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71"/>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72"/>
    <w:qFormat/>
    <w:uiPriority w:val="9"/>
    <w:pPr>
      <w:keepNext/>
      <w:keepLines/>
      <w:spacing w:before="260" w:after="260" w:line="416" w:lineRule="auto"/>
      <w:outlineLvl w:val="1"/>
    </w:pPr>
    <w:rPr>
      <w:rFonts w:ascii="Cambria" w:hAnsi="Cambria"/>
      <w:b/>
      <w:bCs/>
      <w:kern w:val="0"/>
      <w:sz w:val="32"/>
      <w:szCs w:val="32"/>
    </w:rPr>
  </w:style>
  <w:style w:type="paragraph" w:styleId="4">
    <w:name w:val="heading 3"/>
    <w:basedOn w:val="1"/>
    <w:next w:val="1"/>
    <w:link w:val="73"/>
    <w:qFormat/>
    <w:uiPriority w:val="9"/>
    <w:pPr>
      <w:keepNext/>
      <w:keepLines/>
      <w:spacing w:before="260" w:after="260" w:line="416" w:lineRule="auto"/>
      <w:outlineLvl w:val="2"/>
    </w:pPr>
    <w:rPr>
      <w:b/>
      <w:bCs/>
      <w:kern w:val="0"/>
      <w:sz w:val="32"/>
      <w:szCs w:val="32"/>
    </w:rPr>
  </w:style>
  <w:style w:type="paragraph" w:styleId="5">
    <w:name w:val="heading 4"/>
    <w:basedOn w:val="1"/>
    <w:next w:val="1"/>
    <w:link w:val="74"/>
    <w:qFormat/>
    <w:uiPriority w:val="9"/>
    <w:pPr>
      <w:tabs>
        <w:tab w:val="left" w:pos="315"/>
      </w:tabs>
      <w:spacing w:before="120" w:after="120"/>
      <w:outlineLvl w:val="3"/>
    </w:pPr>
    <w:rPr>
      <w:rFonts w:ascii="Cambria" w:hAnsi="Cambria" w:eastAsia="黑体"/>
      <w:bCs/>
      <w:sz w:val="24"/>
      <w:szCs w:val="28"/>
    </w:rPr>
  </w:style>
  <w:style w:type="paragraph" w:styleId="6">
    <w:name w:val="heading 5"/>
    <w:basedOn w:val="1"/>
    <w:next w:val="1"/>
    <w:link w:val="75"/>
    <w:qFormat/>
    <w:uiPriority w:val="9"/>
    <w:pPr>
      <w:tabs>
        <w:tab w:val="left" w:pos="420"/>
      </w:tabs>
      <w:spacing w:beforeLines="50" w:afterLines="50"/>
      <w:outlineLvl w:val="4"/>
    </w:pPr>
    <w:rPr>
      <w:bCs/>
      <w:szCs w:val="28"/>
    </w:rPr>
  </w:style>
  <w:style w:type="paragraph" w:styleId="7">
    <w:name w:val="heading 6"/>
    <w:basedOn w:val="1"/>
    <w:next w:val="1"/>
    <w:link w:val="76"/>
    <w:qFormat/>
    <w:uiPriority w:val="9"/>
    <w:pPr>
      <w:tabs>
        <w:tab w:val="left" w:pos="945"/>
      </w:tabs>
      <w:outlineLvl w:val="5"/>
    </w:pPr>
    <w:rPr>
      <w:rFonts w:ascii="Cambria" w:hAnsi="Cambria"/>
      <w:bCs/>
      <w:szCs w:val="24"/>
    </w:rPr>
  </w:style>
  <w:style w:type="paragraph" w:styleId="8">
    <w:name w:val="heading 7"/>
    <w:basedOn w:val="1"/>
    <w:next w:val="1"/>
    <w:link w:val="247"/>
    <w:qFormat/>
    <w:uiPriority w:val="0"/>
    <w:pPr>
      <w:keepNext/>
      <w:keepLines/>
      <w:widowControl/>
      <w:tabs>
        <w:tab w:val="left" w:pos="2520"/>
      </w:tabs>
      <w:spacing w:before="240" w:after="64" w:line="320" w:lineRule="auto"/>
      <w:ind w:left="1296" w:hanging="1296"/>
      <w:jc w:val="center"/>
      <w:outlineLvl w:val="6"/>
    </w:pPr>
    <w:rPr>
      <w:rFonts w:ascii="Times New Roman" w:hAnsi="Times New Roman"/>
      <w:bCs/>
      <w:kern w:val="0"/>
      <w:sz w:val="24"/>
      <w:szCs w:val="24"/>
    </w:rPr>
  </w:style>
  <w:style w:type="paragraph" w:styleId="9">
    <w:name w:val="heading 8"/>
    <w:basedOn w:val="1"/>
    <w:next w:val="1"/>
    <w:link w:val="248"/>
    <w:qFormat/>
    <w:uiPriority w:val="0"/>
    <w:pPr>
      <w:keepNext/>
      <w:keepLines/>
      <w:widowControl/>
      <w:tabs>
        <w:tab w:val="left" w:pos="1440"/>
      </w:tabs>
      <w:spacing w:before="240" w:after="64" w:line="320" w:lineRule="auto"/>
      <w:ind w:left="1440" w:hanging="1440"/>
      <w:jc w:val="center"/>
      <w:outlineLvl w:val="7"/>
    </w:pPr>
    <w:rPr>
      <w:rFonts w:ascii="Arial" w:hAnsi="Arial" w:eastAsia="黑体"/>
      <w:b/>
      <w:kern w:val="0"/>
      <w:sz w:val="24"/>
      <w:szCs w:val="24"/>
    </w:rPr>
  </w:style>
  <w:style w:type="paragraph" w:styleId="10">
    <w:name w:val="heading 9"/>
    <w:basedOn w:val="1"/>
    <w:next w:val="1"/>
    <w:link w:val="249"/>
    <w:qFormat/>
    <w:uiPriority w:val="0"/>
    <w:pPr>
      <w:keepNext/>
      <w:keepLines/>
      <w:widowControl/>
      <w:tabs>
        <w:tab w:val="left" w:pos="1584"/>
      </w:tabs>
      <w:spacing w:before="240" w:after="64" w:line="320" w:lineRule="auto"/>
      <w:ind w:left="1584" w:hanging="1584"/>
      <w:jc w:val="center"/>
      <w:outlineLvl w:val="8"/>
    </w:pPr>
    <w:rPr>
      <w:rFonts w:ascii="Arial" w:hAnsi="Arial" w:eastAsia="黑体"/>
      <w:b/>
      <w:kern w:val="0"/>
      <w:szCs w:val="21"/>
    </w:rPr>
  </w:style>
  <w:style w:type="character" w:default="1" w:styleId="59">
    <w:name w:val="Default Paragraph Font"/>
    <w:semiHidden/>
    <w:unhideWhenUsed/>
    <w:qFormat/>
    <w:uiPriority w:val="1"/>
  </w:style>
  <w:style w:type="table" w:default="1" w:styleId="57">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ind w:left="100" w:leftChars="400" w:hanging="200" w:hangingChars="200"/>
    </w:pPr>
    <w:rPr>
      <w:rFonts w:ascii="Times New Roman" w:hAnsi="Times New Roman"/>
      <w:szCs w:val="24"/>
    </w:rPr>
  </w:style>
  <w:style w:type="paragraph" w:styleId="12">
    <w:name w:val="toc 7"/>
    <w:basedOn w:val="1"/>
    <w:next w:val="1"/>
    <w:unhideWhenUsed/>
    <w:qFormat/>
    <w:uiPriority w:val="39"/>
    <w:pPr>
      <w:ind w:left="1050"/>
      <w:jc w:val="left"/>
    </w:pPr>
    <w:rPr>
      <w:rFonts w:asciiTheme="minorHAnsi" w:eastAsiaTheme="minorHAnsi"/>
      <w:sz w:val="20"/>
      <w:szCs w:val="20"/>
    </w:rPr>
  </w:style>
  <w:style w:type="paragraph" w:styleId="13">
    <w:name w:val="Normal Indent"/>
    <w:basedOn w:val="1"/>
    <w:qFormat/>
    <w:uiPriority w:val="0"/>
    <w:pPr>
      <w:widowControl/>
      <w:ind w:firstLine="420" w:firstLineChars="200"/>
      <w:jc w:val="center"/>
    </w:pPr>
    <w:rPr>
      <w:rFonts w:ascii="Times New Roman" w:hAnsi="Times New Roman"/>
      <w:b/>
      <w:kern w:val="0"/>
      <w:sz w:val="44"/>
      <w:szCs w:val="20"/>
    </w:rPr>
  </w:style>
  <w:style w:type="paragraph" w:styleId="14">
    <w:name w:val="caption"/>
    <w:basedOn w:val="1"/>
    <w:next w:val="1"/>
    <w:qFormat/>
    <w:uiPriority w:val="0"/>
    <w:rPr>
      <w:rFonts w:ascii="Arial" w:hAnsi="Arial" w:eastAsia="黑体" w:cs="Arial"/>
      <w:sz w:val="20"/>
      <w:szCs w:val="20"/>
    </w:rPr>
  </w:style>
  <w:style w:type="paragraph" w:styleId="15">
    <w:name w:val="index 5"/>
    <w:basedOn w:val="1"/>
    <w:next w:val="1"/>
    <w:qFormat/>
    <w:uiPriority w:val="0"/>
    <w:pPr>
      <w:adjustRightInd w:val="0"/>
      <w:snapToGrid w:val="0"/>
      <w:spacing w:line="360" w:lineRule="auto"/>
      <w:jc w:val="center"/>
    </w:pPr>
    <w:rPr>
      <w:rFonts w:ascii="宋体" w:hAnsi="宋体" w:cs="宋体"/>
      <w:bCs/>
      <w:kern w:val="0"/>
      <w:szCs w:val="21"/>
    </w:rPr>
  </w:style>
  <w:style w:type="paragraph" w:styleId="16">
    <w:name w:val="Document Map"/>
    <w:basedOn w:val="1"/>
    <w:link w:val="260"/>
    <w:qFormat/>
    <w:uiPriority w:val="0"/>
    <w:pPr>
      <w:shd w:val="clear" w:color="auto" w:fill="000080"/>
    </w:pPr>
  </w:style>
  <w:style w:type="paragraph" w:styleId="17">
    <w:name w:val="toa heading"/>
    <w:basedOn w:val="1"/>
    <w:next w:val="1"/>
    <w:unhideWhenUsed/>
    <w:qFormat/>
    <w:uiPriority w:val="0"/>
    <w:pPr>
      <w:spacing w:before="120"/>
    </w:pPr>
    <w:rPr>
      <w:rFonts w:ascii="Cambria" w:hAnsi="Cambria"/>
      <w:sz w:val="24"/>
      <w:szCs w:val="24"/>
    </w:rPr>
  </w:style>
  <w:style w:type="paragraph" w:styleId="18">
    <w:name w:val="annotation text"/>
    <w:basedOn w:val="1"/>
    <w:link w:val="252"/>
    <w:qFormat/>
    <w:uiPriority w:val="99"/>
    <w:pPr>
      <w:jc w:val="left"/>
    </w:pPr>
  </w:style>
  <w:style w:type="paragraph" w:styleId="19">
    <w:name w:val="Body Text 3"/>
    <w:basedOn w:val="1"/>
    <w:link w:val="243"/>
    <w:qFormat/>
    <w:uiPriority w:val="0"/>
    <w:rPr>
      <w:rFonts w:ascii="宋体" w:hAnsi="Times New Roman"/>
      <w:sz w:val="24"/>
      <w:szCs w:val="20"/>
    </w:rPr>
  </w:style>
  <w:style w:type="paragraph" w:styleId="20">
    <w:name w:val="Body Text"/>
    <w:basedOn w:val="1"/>
    <w:link w:val="77"/>
    <w:qFormat/>
    <w:uiPriority w:val="0"/>
    <w:rPr>
      <w:rFonts w:ascii="Times New Roman" w:hAnsi="Times New Roman"/>
      <w:sz w:val="28"/>
      <w:szCs w:val="24"/>
    </w:rPr>
  </w:style>
  <w:style w:type="paragraph" w:styleId="21">
    <w:name w:val="Body Text Indent"/>
    <w:basedOn w:val="1"/>
    <w:link w:val="244"/>
    <w:qFormat/>
    <w:uiPriority w:val="0"/>
    <w:pPr>
      <w:ind w:firstLine="1120" w:firstLineChars="400"/>
    </w:pPr>
    <w:rPr>
      <w:rFonts w:ascii="Times New Roman" w:hAnsi="Times New Roman"/>
      <w:sz w:val="28"/>
      <w:szCs w:val="24"/>
    </w:rPr>
  </w:style>
  <w:style w:type="paragraph" w:styleId="22">
    <w:name w:val="List 2"/>
    <w:basedOn w:val="1"/>
    <w:qFormat/>
    <w:uiPriority w:val="0"/>
    <w:pPr>
      <w:ind w:left="100" w:leftChars="200" w:hanging="200" w:hangingChars="200"/>
    </w:pPr>
    <w:rPr>
      <w:rFonts w:ascii="Times New Roman" w:hAnsi="Times New Roman"/>
      <w:szCs w:val="24"/>
    </w:rPr>
  </w:style>
  <w:style w:type="paragraph" w:styleId="23">
    <w:name w:val="List Continue"/>
    <w:basedOn w:val="1"/>
    <w:qFormat/>
    <w:uiPriority w:val="0"/>
    <w:pPr>
      <w:adjustRightInd w:val="0"/>
      <w:spacing w:after="120" w:line="312" w:lineRule="atLeast"/>
      <w:ind w:left="420"/>
      <w:textAlignment w:val="baseline"/>
    </w:pPr>
    <w:rPr>
      <w:rFonts w:ascii="Times New Roman" w:hAnsi="Times New Roman"/>
      <w:kern w:val="0"/>
      <w:szCs w:val="20"/>
    </w:rPr>
  </w:style>
  <w:style w:type="paragraph" w:styleId="24">
    <w:name w:val="index 4"/>
    <w:basedOn w:val="1"/>
    <w:next w:val="1"/>
    <w:unhideWhenUsed/>
    <w:qFormat/>
    <w:uiPriority w:val="0"/>
    <w:pPr>
      <w:ind w:left="600" w:leftChars="600"/>
    </w:pPr>
    <w:rPr>
      <w:rFonts w:ascii="Times New Roman" w:hAnsi="Times New Roman"/>
      <w:szCs w:val="24"/>
    </w:rPr>
  </w:style>
  <w:style w:type="paragraph" w:styleId="25">
    <w:name w:val="toc 5"/>
    <w:basedOn w:val="1"/>
    <w:next w:val="1"/>
    <w:unhideWhenUsed/>
    <w:qFormat/>
    <w:uiPriority w:val="39"/>
    <w:pPr>
      <w:ind w:left="630"/>
      <w:jc w:val="left"/>
    </w:pPr>
    <w:rPr>
      <w:rFonts w:asciiTheme="minorHAnsi" w:eastAsiaTheme="minorHAnsi"/>
      <w:sz w:val="20"/>
      <w:szCs w:val="20"/>
    </w:rPr>
  </w:style>
  <w:style w:type="paragraph" w:styleId="26">
    <w:name w:val="toc 3"/>
    <w:basedOn w:val="1"/>
    <w:next w:val="1"/>
    <w:unhideWhenUsed/>
    <w:qFormat/>
    <w:uiPriority w:val="39"/>
    <w:pPr>
      <w:ind w:left="210"/>
      <w:jc w:val="left"/>
    </w:pPr>
    <w:rPr>
      <w:rFonts w:asciiTheme="minorHAnsi" w:eastAsiaTheme="minorHAnsi"/>
      <w:sz w:val="20"/>
      <w:szCs w:val="20"/>
    </w:rPr>
  </w:style>
  <w:style w:type="paragraph" w:styleId="27">
    <w:name w:val="Plain Text"/>
    <w:basedOn w:val="1"/>
    <w:link w:val="79"/>
    <w:qFormat/>
    <w:uiPriority w:val="0"/>
    <w:rPr>
      <w:rFonts w:ascii="宋体" w:hAnsi="Courier New"/>
      <w:szCs w:val="21"/>
    </w:rPr>
  </w:style>
  <w:style w:type="paragraph" w:styleId="28">
    <w:name w:val="toc 8"/>
    <w:basedOn w:val="1"/>
    <w:next w:val="1"/>
    <w:unhideWhenUsed/>
    <w:qFormat/>
    <w:uiPriority w:val="39"/>
    <w:pPr>
      <w:ind w:left="1260"/>
      <w:jc w:val="left"/>
    </w:pPr>
    <w:rPr>
      <w:rFonts w:asciiTheme="minorHAnsi" w:eastAsiaTheme="minorHAnsi"/>
      <w:sz w:val="20"/>
      <w:szCs w:val="20"/>
    </w:rPr>
  </w:style>
  <w:style w:type="paragraph" w:styleId="29">
    <w:name w:val="Date"/>
    <w:basedOn w:val="1"/>
    <w:next w:val="1"/>
    <w:link w:val="250"/>
    <w:qFormat/>
    <w:uiPriority w:val="0"/>
    <w:pPr>
      <w:ind w:left="100" w:leftChars="2500"/>
    </w:pPr>
    <w:rPr>
      <w:rFonts w:ascii="Times New Roman" w:hAnsi="Times New Roman"/>
      <w:szCs w:val="24"/>
    </w:rPr>
  </w:style>
  <w:style w:type="paragraph" w:styleId="30">
    <w:name w:val="Body Text Indent 2"/>
    <w:basedOn w:val="1"/>
    <w:link w:val="261"/>
    <w:qFormat/>
    <w:uiPriority w:val="0"/>
    <w:pPr>
      <w:ind w:left="206" w:hanging="206" w:hangingChars="98"/>
    </w:pPr>
    <w:rPr>
      <w:rFonts w:ascii="Times New Roman" w:hAnsi="Times New Roman"/>
      <w:szCs w:val="24"/>
    </w:rPr>
  </w:style>
  <w:style w:type="paragraph" w:styleId="31">
    <w:name w:val="endnote text"/>
    <w:basedOn w:val="1"/>
    <w:link w:val="264"/>
    <w:qFormat/>
    <w:uiPriority w:val="0"/>
    <w:pPr>
      <w:snapToGrid w:val="0"/>
      <w:jc w:val="left"/>
    </w:pPr>
    <w:rPr>
      <w:rFonts w:ascii="Times New Roman" w:hAnsi="Times New Roman"/>
      <w:szCs w:val="24"/>
    </w:rPr>
  </w:style>
  <w:style w:type="paragraph" w:styleId="32">
    <w:name w:val="List Continue 5"/>
    <w:basedOn w:val="1"/>
    <w:qFormat/>
    <w:uiPriority w:val="0"/>
    <w:pPr>
      <w:adjustRightInd w:val="0"/>
      <w:spacing w:after="120" w:line="312" w:lineRule="atLeast"/>
      <w:ind w:left="2100"/>
      <w:textAlignment w:val="baseline"/>
    </w:pPr>
    <w:rPr>
      <w:rFonts w:ascii="Times New Roman" w:hAnsi="Times New Roman"/>
      <w:kern w:val="0"/>
      <w:szCs w:val="20"/>
    </w:rPr>
  </w:style>
  <w:style w:type="paragraph" w:styleId="33">
    <w:name w:val="Balloon Text"/>
    <w:basedOn w:val="1"/>
    <w:link w:val="80"/>
    <w:unhideWhenUsed/>
    <w:qFormat/>
    <w:uiPriority w:val="99"/>
    <w:rPr>
      <w:kern w:val="0"/>
      <w:sz w:val="18"/>
      <w:szCs w:val="18"/>
    </w:rPr>
  </w:style>
  <w:style w:type="paragraph" w:styleId="34">
    <w:name w:val="footer"/>
    <w:basedOn w:val="1"/>
    <w:link w:val="81"/>
    <w:unhideWhenUsed/>
    <w:qFormat/>
    <w:uiPriority w:val="99"/>
    <w:pPr>
      <w:tabs>
        <w:tab w:val="center" w:pos="4153"/>
        <w:tab w:val="right" w:pos="8306"/>
      </w:tabs>
      <w:snapToGrid w:val="0"/>
      <w:jc w:val="left"/>
    </w:pPr>
    <w:rPr>
      <w:kern w:val="0"/>
      <w:sz w:val="18"/>
      <w:szCs w:val="18"/>
    </w:rPr>
  </w:style>
  <w:style w:type="paragraph" w:styleId="35">
    <w:name w:val="header"/>
    <w:basedOn w:val="1"/>
    <w:link w:val="82"/>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36">
    <w:name w:val="toc 1"/>
    <w:basedOn w:val="1"/>
    <w:next w:val="1"/>
    <w:unhideWhenUsed/>
    <w:qFormat/>
    <w:uiPriority w:val="39"/>
    <w:pPr>
      <w:spacing w:before="360"/>
      <w:jc w:val="left"/>
    </w:pPr>
    <w:rPr>
      <w:rFonts w:asciiTheme="majorHAnsi" w:eastAsiaTheme="majorHAnsi"/>
      <w:b/>
      <w:bCs/>
      <w:caps/>
      <w:sz w:val="24"/>
      <w:szCs w:val="24"/>
    </w:rPr>
  </w:style>
  <w:style w:type="paragraph" w:styleId="37">
    <w:name w:val="List Continue 4"/>
    <w:basedOn w:val="1"/>
    <w:qFormat/>
    <w:uiPriority w:val="0"/>
    <w:pPr>
      <w:adjustRightInd w:val="0"/>
      <w:spacing w:after="120" w:line="312" w:lineRule="atLeast"/>
      <w:ind w:left="1680"/>
      <w:textAlignment w:val="baseline"/>
    </w:pPr>
    <w:rPr>
      <w:rFonts w:ascii="Times New Roman" w:hAnsi="Times New Roman"/>
      <w:kern w:val="0"/>
      <w:szCs w:val="20"/>
    </w:rPr>
  </w:style>
  <w:style w:type="paragraph" w:styleId="38">
    <w:name w:val="toc 4"/>
    <w:basedOn w:val="1"/>
    <w:next w:val="1"/>
    <w:unhideWhenUsed/>
    <w:qFormat/>
    <w:uiPriority w:val="39"/>
    <w:pPr>
      <w:ind w:left="420"/>
      <w:jc w:val="left"/>
    </w:pPr>
    <w:rPr>
      <w:rFonts w:asciiTheme="minorHAnsi" w:eastAsiaTheme="minorHAnsi"/>
      <w:sz w:val="20"/>
      <w:szCs w:val="20"/>
    </w:rPr>
  </w:style>
  <w:style w:type="paragraph" w:styleId="39">
    <w:name w:val="Subtitle"/>
    <w:basedOn w:val="1"/>
    <w:next w:val="1"/>
    <w:link w:val="83"/>
    <w:qFormat/>
    <w:uiPriority w:val="11"/>
    <w:pPr>
      <w:spacing w:before="240" w:after="60" w:line="312" w:lineRule="auto"/>
      <w:jc w:val="center"/>
      <w:outlineLvl w:val="1"/>
    </w:pPr>
    <w:rPr>
      <w:rFonts w:ascii="Cambria" w:hAnsi="Cambria"/>
      <w:b/>
      <w:bCs/>
      <w:kern w:val="28"/>
      <w:sz w:val="32"/>
      <w:szCs w:val="32"/>
    </w:rPr>
  </w:style>
  <w:style w:type="paragraph" w:styleId="40">
    <w:name w:val="List"/>
    <w:basedOn w:val="1"/>
    <w:qFormat/>
    <w:uiPriority w:val="0"/>
    <w:pPr>
      <w:ind w:left="200" w:hanging="200" w:hangingChars="200"/>
    </w:pPr>
    <w:rPr>
      <w:rFonts w:ascii="Times New Roman" w:hAnsi="Times New Roman"/>
      <w:szCs w:val="24"/>
    </w:rPr>
  </w:style>
  <w:style w:type="paragraph" w:styleId="41">
    <w:name w:val="footnote text"/>
    <w:basedOn w:val="1"/>
    <w:link w:val="84"/>
    <w:unhideWhenUsed/>
    <w:qFormat/>
    <w:uiPriority w:val="0"/>
    <w:pPr>
      <w:snapToGrid w:val="0"/>
      <w:jc w:val="left"/>
    </w:pPr>
    <w:rPr>
      <w:kern w:val="0"/>
      <w:sz w:val="18"/>
      <w:szCs w:val="18"/>
    </w:rPr>
  </w:style>
  <w:style w:type="paragraph" w:styleId="42">
    <w:name w:val="toc 6"/>
    <w:basedOn w:val="1"/>
    <w:next w:val="1"/>
    <w:unhideWhenUsed/>
    <w:qFormat/>
    <w:uiPriority w:val="39"/>
    <w:pPr>
      <w:ind w:left="840"/>
      <w:jc w:val="left"/>
    </w:pPr>
    <w:rPr>
      <w:rFonts w:asciiTheme="minorHAnsi" w:eastAsiaTheme="minorHAnsi"/>
      <w:sz w:val="20"/>
      <w:szCs w:val="20"/>
    </w:rPr>
  </w:style>
  <w:style w:type="paragraph" w:styleId="43">
    <w:name w:val="List 5"/>
    <w:basedOn w:val="1"/>
    <w:qFormat/>
    <w:uiPriority w:val="0"/>
    <w:pPr>
      <w:ind w:left="100" w:leftChars="800" w:hanging="200" w:hangingChars="200"/>
    </w:pPr>
    <w:rPr>
      <w:rFonts w:ascii="Times New Roman" w:hAnsi="Times New Roman"/>
      <w:szCs w:val="24"/>
    </w:rPr>
  </w:style>
  <w:style w:type="paragraph" w:styleId="44">
    <w:name w:val="Body Text Indent 3"/>
    <w:basedOn w:val="1"/>
    <w:link w:val="254"/>
    <w:qFormat/>
    <w:uiPriority w:val="99"/>
    <w:pPr>
      <w:spacing w:line="420" w:lineRule="exact"/>
      <w:ind w:firstLine="420" w:firstLineChars="200"/>
    </w:pPr>
    <w:rPr>
      <w:rFonts w:ascii="Times New Roman" w:hAnsi="Times New Roman"/>
      <w:szCs w:val="24"/>
    </w:rPr>
  </w:style>
  <w:style w:type="paragraph" w:styleId="45">
    <w:name w:val="toc 2"/>
    <w:basedOn w:val="1"/>
    <w:next w:val="1"/>
    <w:unhideWhenUsed/>
    <w:qFormat/>
    <w:uiPriority w:val="39"/>
    <w:pPr>
      <w:spacing w:before="240"/>
      <w:jc w:val="left"/>
    </w:pPr>
    <w:rPr>
      <w:rFonts w:asciiTheme="minorHAnsi" w:eastAsiaTheme="minorHAnsi"/>
      <w:b/>
      <w:bCs/>
      <w:sz w:val="20"/>
      <w:szCs w:val="20"/>
    </w:rPr>
  </w:style>
  <w:style w:type="paragraph" w:styleId="46">
    <w:name w:val="toc 9"/>
    <w:basedOn w:val="1"/>
    <w:next w:val="1"/>
    <w:unhideWhenUsed/>
    <w:qFormat/>
    <w:uiPriority w:val="39"/>
    <w:pPr>
      <w:ind w:left="1470"/>
      <w:jc w:val="left"/>
    </w:pPr>
    <w:rPr>
      <w:rFonts w:asciiTheme="minorHAnsi" w:eastAsiaTheme="minorHAnsi"/>
      <w:sz w:val="20"/>
      <w:szCs w:val="20"/>
    </w:rPr>
  </w:style>
  <w:style w:type="paragraph" w:styleId="47">
    <w:name w:val="Body Text 2"/>
    <w:basedOn w:val="1"/>
    <w:link w:val="262"/>
    <w:qFormat/>
    <w:uiPriority w:val="0"/>
    <w:pPr>
      <w:spacing w:after="120" w:line="480" w:lineRule="auto"/>
    </w:pPr>
    <w:rPr>
      <w:rFonts w:ascii="Times New Roman" w:hAnsi="Times New Roman"/>
      <w:szCs w:val="24"/>
    </w:rPr>
  </w:style>
  <w:style w:type="paragraph" w:styleId="48">
    <w:name w:val="List 4"/>
    <w:basedOn w:val="1"/>
    <w:qFormat/>
    <w:uiPriority w:val="0"/>
    <w:pPr>
      <w:adjustRightInd w:val="0"/>
      <w:spacing w:line="312" w:lineRule="atLeast"/>
      <w:ind w:left="1680" w:hanging="420"/>
      <w:textAlignment w:val="baseline"/>
    </w:pPr>
    <w:rPr>
      <w:rFonts w:ascii="Times New Roman" w:hAnsi="Times New Roman"/>
      <w:kern w:val="0"/>
      <w:szCs w:val="20"/>
    </w:rPr>
  </w:style>
  <w:style w:type="paragraph" w:styleId="49">
    <w:name w:val="List Continue 2"/>
    <w:basedOn w:val="1"/>
    <w:qFormat/>
    <w:uiPriority w:val="0"/>
    <w:pPr>
      <w:adjustRightInd w:val="0"/>
      <w:spacing w:after="120" w:line="312" w:lineRule="atLeast"/>
      <w:ind w:left="840"/>
      <w:textAlignment w:val="baseline"/>
    </w:pPr>
    <w:rPr>
      <w:rFonts w:ascii="Times New Roman" w:hAnsi="Times New Roman"/>
      <w:kern w:val="0"/>
      <w:szCs w:val="20"/>
    </w:rPr>
  </w:style>
  <w:style w:type="paragraph" w:styleId="50">
    <w:name w:val="HTML Preformatted"/>
    <w:basedOn w:val="1"/>
    <w:link w:val="342"/>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51">
    <w:name w:val="Normal (Web)"/>
    <w:basedOn w:val="1"/>
    <w:qFormat/>
    <w:uiPriority w:val="99"/>
    <w:pPr>
      <w:widowControl/>
      <w:spacing w:before="100" w:beforeAutospacing="1" w:after="100" w:afterAutospacing="1"/>
      <w:jc w:val="left"/>
    </w:pPr>
    <w:rPr>
      <w:rFonts w:ascii="宋体" w:hAnsi="宋体"/>
      <w:kern w:val="0"/>
      <w:sz w:val="24"/>
      <w:szCs w:val="24"/>
    </w:rPr>
  </w:style>
  <w:style w:type="paragraph" w:styleId="52">
    <w:name w:val="index 1"/>
    <w:basedOn w:val="1"/>
    <w:next w:val="1"/>
    <w:qFormat/>
    <w:uiPriority w:val="0"/>
    <w:rPr>
      <w:rFonts w:ascii="Times New Roman" w:hAnsi="Times New Roman"/>
      <w:szCs w:val="24"/>
    </w:rPr>
  </w:style>
  <w:style w:type="paragraph" w:styleId="53">
    <w:name w:val="Title"/>
    <w:basedOn w:val="1"/>
    <w:link w:val="253"/>
    <w:qFormat/>
    <w:uiPriority w:val="0"/>
    <w:pPr>
      <w:widowControl/>
      <w:spacing w:before="240" w:after="60"/>
      <w:jc w:val="center"/>
      <w:outlineLvl w:val="0"/>
    </w:pPr>
    <w:rPr>
      <w:rFonts w:ascii="Arial" w:hAnsi="Arial" w:cs="Arial"/>
      <w:b/>
      <w:bCs/>
      <w:kern w:val="0"/>
      <w:sz w:val="44"/>
      <w:szCs w:val="32"/>
    </w:rPr>
  </w:style>
  <w:style w:type="paragraph" w:styleId="54">
    <w:name w:val="annotation subject"/>
    <w:basedOn w:val="18"/>
    <w:next w:val="18"/>
    <w:link w:val="265"/>
    <w:qFormat/>
    <w:uiPriority w:val="0"/>
    <w:rPr>
      <w:b/>
      <w:bCs/>
    </w:rPr>
  </w:style>
  <w:style w:type="paragraph" w:styleId="55">
    <w:name w:val="Body Text First Indent"/>
    <w:basedOn w:val="20"/>
    <w:link w:val="78"/>
    <w:qFormat/>
    <w:uiPriority w:val="0"/>
    <w:pPr>
      <w:spacing w:after="120"/>
      <w:ind w:firstLine="420" w:firstLineChars="100"/>
    </w:pPr>
    <w:rPr>
      <w:sz w:val="21"/>
    </w:rPr>
  </w:style>
  <w:style w:type="paragraph" w:styleId="56">
    <w:name w:val="Body Text First Indent 2"/>
    <w:basedOn w:val="21"/>
    <w:link w:val="245"/>
    <w:qFormat/>
    <w:uiPriority w:val="0"/>
    <w:pPr>
      <w:adjustRightInd w:val="0"/>
      <w:spacing w:after="120" w:line="312" w:lineRule="atLeast"/>
      <w:ind w:firstLine="420" w:firstLineChars="0"/>
      <w:textAlignment w:val="baseline"/>
    </w:pPr>
    <w:rPr>
      <w:kern w:val="0"/>
      <w:sz w:val="21"/>
      <w:szCs w:val="20"/>
    </w:rPr>
  </w:style>
  <w:style w:type="table" w:styleId="58">
    <w:name w:val="Table Grid"/>
    <w:basedOn w:val="5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0">
    <w:name w:val="Strong"/>
    <w:qFormat/>
    <w:uiPriority w:val="0"/>
    <w:rPr>
      <w:b/>
      <w:bCs/>
    </w:rPr>
  </w:style>
  <w:style w:type="character" w:styleId="61">
    <w:name w:val="endnote reference"/>
    <w:unhideWhenUsed/>
    <w:qFormat/>
    <w:uiPriority w:val="0"/>
    <w:rPr>
      <w:vertAlign w:val="superscript"/>
    </w:rPr>
  </w:style>
  <w:style w:type="character" w:styleId="62">
    <w:name w:val="page number"/>
    <w:basedOn w:val="59"/>
    <w:qFormat/>
    <w:uiPriority w:val="0"/>
  </w:style>
  <w:style w:type="character" w:styleId="63">
    <w:name w:val="FollowedHyperlink"/>
    <w:unhideWhenUsed/>
    <w:qFormat/>
    <w:uiPriority w:val="99"/>
    <w:rPr>
      <w:color w:val="800080"/>
      <w:u w:val="single"/>
    </w:rPr>
  </w:style>
  <w:style w:type="character" w:styleId="64">
    <w:name w:val="Emphasis"/>
    <w:qFormat/>
    <w:uiPriority w:val="20"/>
    <w:rPr>
      <w:i/>
      <w:iCs/>
    </w:rPr>
  </w:style>
  <w:style w:type="character" w:styleId="65">
    <w:name w:val="Hyperlink"/>
    <w:unhideWhenUsed/>
    <w:qFormat/>
    <w:uiPriority w:val="99"/>
    <w:rPr>
      <w:color w:val="0000FF"/>
      <w:u w:val="single"/>
    </w:rPr>
  </w:style>
  <w:style w:type="character" w:styleId="66">
    <w:name w:val="HTML Code"/>
    <w:basedOn w:val="59"/>
    <w:unhideWhenUsed/>
    <w:qFormat/>
    <w:uiPriority w:val="99"/>
    <w:rPr>
      <w:rFonts w:hint="default" w:ascii="Consolas" w:hAnsi="Consolas" w:eastAsia="Consolas" w:cs="Consolas"/>
      <w:color w:val="C7254E"/>
      <w:sz w:val="21"/>
      <w:szCs w:val="21"/>
      <w:shd w:val="clear" w:color="auto" w:fill="F9F2F4"/>
    </w:rPr>
  </w:style>
  <w:style w:type="character" w:styleId="67">
    <w:name w:val="annotation reference"/>
    <w:qFormat/>
    <w:uiPriority w:val="0"/>
    <w:rPr>
      <w:sz w:val="21"/>
      <w:szCs w:val="21"/>
    </w:rPr>
  </w:style>
  <w:style w:type="character" w:styleId="68">
    <w:name w:val="footnote reference"/>
    <w:qFormat/>
    <w:uiPriority w:val="0"/>
    <w:rPr>
      <w:vertAlign w:val="superscript"/>
    </w:rPr>
  </w:style>
  <w:style w:type="character" w:styleId="69">
    <w:name w:val="HTML Keyboard"/>
    <w:basedOn w:val="59"/>
    <w:unhideWhenUsed/>
    <w:qFormat/>
    <w:uiPriority w:val="99"/>
    <w:rPr>
      <w:rFonts w:ascii="Consolas" w:hAnsi="Consolas" w:eastAsia="Consolas" w:cs="Consolas"/>
      <w:color w:val="FFFFFF"/>
      <w:sz w:val="21"/>
      <w:szCs w:val="21"/>
      <w:shd w:val="clear" w:color="auto" w:fill="333333"/>
    </w:rPr>
  </w:style>
  <w:style w:type="character" w:styleId="70">
    <w:name w:val="HTML Sample"/>
    <w:basedOn w:val="59"/>
    <w:unhideWhenUsed/>
    <w:qFormat/>
    <w:uiPriority w:val="99"/>
    <w:rPr>
      <w:rFonts w:hint="default" w:ascii="Consolas" w:hAnsi="Consolas" w:eastAsia="Consolas" w:cs="Consolas"/>
    </w:rPr>
  </w:style>
  <w:style w:type="character" w:customStyle="1" w:styleId="71">
    <w:name w:val="标题 1 字符"/>
    <w:link w:val="2"/>
    <w:qFormat/>
    <w:uiPriority w:val="9"/>
    <w:rPr>
      <w:b/>
      <w:bCs/>
      <w:kern w:val="44"/>
      <w:sz w:val="44"/>
      <w:szCs w:val="44"/>
    </w:rPr>
  </w:style>
  <w:style w:type="character" w:customStyle="1" w:styleId="72">
    <w:name w:val="标题 2 字符"/>
    <w:link w:val="3"/>
    <w:qFormat/>
    <w:uiPriority w:val="9"/>
    <w:rPr>
      <w:rFonts w:ascii="Cambria" w:hAnsi="Cambria" w:eastAsia="宋体" w:cs="Times New Roman"/>
      <w:b/>
      <w:bCs/>
      <w:sz w:val="32"/>
      <w:szCs w:val="32"/>
    </w:rPr>
  </w:style>
  <w:style w:type="character" w:customStyle="1" w:styleId="73">
    <w:name w:val="标题 3 字符"/>
    <w:link w:val="4"/>
    <w:qFormat/>
    <w:uiPriority w:val="9"/>
    <w:rPr>
      <w:b/>
      <w:bCs/>
      <w:sz w:val="32"/>
      <w:szCs w:val="32"/>
    </w:rPr>
  </w:style>
  <w:style w:type="character" w:customStyle="1" w:styleId="74">
    <w:name w:val="标题 4 字符"/>
    <w:link w:val="5"/>
    <w:qFormat/>
    <w:uiPriority w:val="9"/>
    <w:rPr>
      <w:rFonts w:ascii="Cambria" w:hAnsi="Cambria" w:eastAsia="黑体"/>
      <w:bCs/>
      <w:kern w:val="2"/>
      <w:sz w:val="24"/>
      <w:szCs w:val="28"/>
    </w:rPr>
  </w:style>
  <w:style w:type="character" w:customStyle="1" w:styleId="75">
    <w:name w:val="标题 5 字符"/>
    <w:link w:val="6"/>
    <w:qFormat/>
    <w:uiPriority w:val="9"/>
    <w:rPr>
      <w:bCs/>
      <w:kern w:val="2"/>
      <w:sz w:val="21"/>
      <w:szCs w:val="28"/>
    </w:rPr>
  </w:style>
  <w:style w:type="character" w:customStyle="1" w:styleId="76">
    <w:name w:val="标题 6 字符"/>
    <w:link w:val="7"/>
    <w:qFormat/>
    <w:uiPriority w:val="9"/>
    <w:rPr>
      <w:rFonts w:ascii="Cambria" w:hAnsi="Cambria"/>
      <w:bCs/>
      <w:kern w:val="2"/>
      <w:sz w:val="21"/>
      <w:szCs w:val="24"/>
    </w:rPr>
  </w:style>
  <w:style w:type="character" w:customStyle="1" w:styleId="77">
    <w:name w:val="正文文本 字符"/>
    <w:link w:val="20"/>
    <w:qFormat/>
    <w:uiPriority w:val="0"/>
    <w:rPr>
      <w:rFonts w:ascii="Times New Roman" w:hAnsi="Times New Roman"/>
      <w:kern w:val="2"/>
      <w:sz w:val="28"/>
      <w:szCs w:val="24"/>
    </w:rPr>
  </w:style>
  <w:style w:type="character" w:customStyle="1" w:styleId="78">
    <w:name w:val="正文文本首行缩进 字符"/>
    <w:link w:val="55"/>
    <w:qFormat/>
    <w:uiPriority w:val="0"/>
    <w:rPr>
      <w:rFonts w:ascii="Times New Roman" w:hAnsi="Times New Roman"/>
      <w:kern w:val="2"/>
      <w:sz w:val="21"/>
      <w:szCs w:val="24"/>
    </w:rPr>
  </w:style>
  <w:style w:type="character" w:customStyle="1" w:styleId="79">
    <w:name w:val="纯文本 字符"/>
    <w:link w:val="27"/>
    <w:qFormat/>
    <w:locked/>
    <w:uiPriority w:val="0"/>
    <w:rPr>
      <w:rFonts w:ascii="宋体" w:hAnsi="Courier New" w:cs="Courier New"/>
      <w:kern w:val="2"/>
      <w:sz w:val="21"/>
      <w:szCs w:val="21"/>
    </w:rPr>
  </w:style>
  <w:style w:type="character" w:customStyle="1" w:styleId="80">
    <w:name w:val="批注框文本 字符"/>
    <w:link w:val="33"/>
    <w:qFormat/>
    <w:uiPriority w:val="99"/>
    <w:rPr>
      <w:sz w:val="18"/>
      <w:szCs w:val="18"/>
    </w:rPr>
  </w:style>
  <w:style w:type="character" w:customStyle="1" w:styleId="81">
    <w:name w:val="页脚 字符1"/>
    <w:link w:val="34"/>
    <w:qFormat/>
    <w:uiPriority w:val="99"/>
    <w:rPr>
      <w:sz w:val="18"/>
      <w:szCs w:val="18"/>
    </w:rPr>
  </w:style>
  <w:style w:type="character" w:customStyle="1" w:styleId="82">
    <w:name w:val="页眉 字符"/>
    <w:link w:val="35"/>
    <w:qFormat/>
    <w:uiPriority w:val="99"/>
    <w:rPr>
      <w:sz w:val="18"/>
      <w:szCs w:val="18"/>
    </w:rPr>
  </w:style>
  <w:style w:type="character" w:customStyle="1" w:styleId="83">
    <w:name w:val="副标题 字符"/>
    <w:link w:val="39"/>
    <w:qFormat/>
    <w:uiPriority w:val="11"/>
    <w:rPr>
      <w:rFonts w:ascii="Cambria" w:hAnsi="Cambria" w:eastAsia="宋体" w:cs="Times New Roman"/>
      <w:b/>
      <w:bCs/>
      <w:kern w:val="28"/>
      <w:sz w:val="32"/>
      <w:szCs w:val="32"/>
    </w:rPr>
  </w:style>
  <w:style w:type="character" w:customStyle="1" w:styleId="84">
    <w:name w:val="脚注文本 字符1"/>
    <w:link w:val="41"/>
    <w:qFormat/>
    <w:uiPriority w:val="0"/>
    <w:rPr>
      <w:sz w:val="18"/>
      <w:szCs w:val="18"/>
    </w:rPr>
  </w:style>
  <w:style w:type="character" w:customStyle="1" w:styleId="85">
    <w:name w:val="Char Char4"/>
    <w:semiHidden/>
    <w:qFormat/>
    <w:locked/>
    <w:uiPriority w:val="0"/>
    <w:rPr>
      <w:sz w:val="18"/>
      <w:szCs w:val="18"/>
      <w:lang w:bidi="ar-SA"/>
    </w:rPr>
  </w:style>
  <w:style w:type="character" w:customStyle="1" w:styleId="86">
    <w:name w:val="纯文本 Char1"/>
    <w:qFormat/>
    <w:locked/>
    <w:uiPriority w:val="0"/>
    <w:rPr>
      <w:rFonts w:ascii="宋体" w:hAnsi="Courier New" w:eastAsia="宋体" w:cs="宋体"/>
      <w:szCs w:val="21"/>
    </w:rPr>
  </w:style>
  <w:style w:type="character" w:customStyle="1" w:styleId="87">
    <w:name w:val="Char Char11"/>
    <w:link w:val="88"/>
    <w:qFormat/>
    <w:uiPriority w:val="0"/>
    <w:rPr>
      <w:rFonts w:ascii="宋体" w:hAnsi="宋体" w:eastAsia="宋体" w:cs="宋体"/>
      <w:kern w:val="2"/>
      <w:sz w:val="24"/>
      <w:szCs w:val="24"/>
      <w:lang w:val="en-US" w:eastAsia="zh-CN" w:bidi="ar-SA"/>
    </w:rPr>
  </w:style>
  <w:style w:type="paragraph" w:customStyle="1" w:styleId="88">
    <w:name w:val="Char"/>
    <w:basedOn w:val="1"/>
    <w:link w:val="87"/>
    <w:qFormat/>
    <w:uiPriority w:val="0"/>
    <w:pPr>
      <w:spacing w:line="360" w:lineRule="auto"/>
      <w:ind w:firstLine="200" w:firstLineChars="200"/>
    </w:pPr>
    <w:rPr>
      <w:rFonts w:ascii="宋体" w:hAnsi="宋体" w:cs="宋体"/>
      <w:sz w:val="24"/>
      <w:szCs w:val="24"/>
    </w:rPr>
  </w:style>
  <w:style w:type="character" w:customStyle="1" w:styleId="89">
    <w:name w:val="Char2 Char Char"/>
    <w:qFormat/>
    <w:uiPriority w:val="0"/>
    <w:rPr>
      <w:rFonts w:eastAsia="宋体"/>
      <w:sz w:val="21"/>
      <w:lang w:val="en-US" w:eastAsia="zh-CN" w:bidi="ar-SA"/>
    </w:rPr>
  </w:style>
  <w:style w:type="character" w:customStyle="1" w:styleId="90">
    <w:name w:val="Char Char14"/>
    <w:qFormat/>
    <w:locked/>
    <w:uiPriority w:val="0"/>
    <w:rPr>
      <w:rFonts w:ascii="Calibri" w:hAnsi="Calibri" w:eastAsia="宋体" w:cs="Calibri"/>
      <w:kern w:val="2"/>
      <w:sz w:val="18"/>
      <w:szCs w:val="18"/>
      <w:lang w:val="en-US" w:eastAsia="zh-CN" w:bidi="ar-SA"/>
    </w:rPr>
  </w:style>
  <w:style w:type="paragraph" w:customStyle="1" w:styleId="91">
    <w:name w:val="CM108"/>
    <w:basedOn w:val="92"/>
    <w:next w:val="92"/>
    <w:qFormat/>
    <w:uiPriority w:val="99"/>
    <w:rPr>
      <w:rFonts w:cs="Times New Roman"/>
      <w:color w:val="auto"/>
    </w:rPr>
  </w:style>
  <w:style w:type="paragraph" w:customStyle="1" w:styleId="9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93">
    <w:name w:val="CM78"/>
    <w:basedOn w:val="92"/>
    <w:next w:val="92"/>
    <w:qFormat/>
    <w:uiPriority w:val="99"/>
    <w:rPr>
      <w:rFonts w:cs="Times New Roman"/>
      <w:color w:val="auto"/>
    </w:rPr>
  </w:style>
  <w:style w:type="paragraph" w:customStyle="1" w:styleId="94">
    <w:name w:val="CM71"/>
    <w:basedOn w:val="92"/>
    <w:next w:val="92"/>
    <w:qFormat/>
    <w:uiPriority w:val="99"/>
    <w:rPr>
      <w:rFonts w:cs="Times New Roman"/>
      <w:color w:val="auto"/>
    </w:rPr>
  </w:style>
  <w:style w:type="paragraph" w:customStyle="1" w:styleId="95">
    <w:name w:val="CM8"/>
    <w:basedOn w:val="92"/>
    <w:next w:val="92"/>
    <w:qFormat/>
    <w:uiPriority w:val="99"/>
    <w:pPr>
      <w:spacing w:line="318" w:lineRule="atLeast"/>
    </w:pPr>
    <w:rPr>
      <w:rFonts w:cs="Times New Roman"/>
      <w:color w:val="auto"/>
    </w:rPr>
  </w:style>
  <w:style w:type="paragraph" w:customStyle="1" w:styleId="96">
    <w:name w:val="CM87"/>
    <w:basedOn w:val="92"/>
    <w:next w:val="92"/>
    <w:qFormat/>
    <w:uiPriority w:val="99"/>
    <w:pPr>
      <w:spacing w:line="440" w:lineRule="atLeast"/>
    </w:pPr>
    <w:rPr>
      <w:rFonts w:cs="Times New Roman"/>
      <w:color w:val="auto"/>
    </w:rPr>
  </w:style>
  <w:style w:type="paragraph" w:customStyle="1" w:styleId="97">
    <w:name w:val="CM28"/>
    <w:basedOn w:val="92"/>
    <w:next w:val="92"/>
    <w:qFormat/>
    <w:uiPriority w:val="99"/>
    <w:pPr>
      <w:spacing w:line="398" w:lineRule="atLeast"/>
    </w:pPr>
    <w:rPr>
      <w:rFonts w:cs="Times New Roman"/>
      <w:color w:val="auto"/>
    </w:rPr>
  </w:style>
  <w:style w:type="paragraph" w:customStyle="1" w:styleId="98">
    <w:name w:val="CM10"/>
    <w:basedOn w:val="92"/>
    <w:next w:val="92"/>
    <w:qFormat/>
    <w:uiPriority w:val="99"/>
    <w:rPr>
      <w:rFonts w:cs="Times New Roman"/>
      <w:color w:val="auto"/>
    </w:rPr>
  </w:style>
  <w:style w:type="paragraph" w:customStyle="1" w:styleId="99">
    <w:name w:val="CM103"/>
    <w:basedOn w:val="92"/>
    <w:next w:val="92"/>
    <w:qFormat/>
    <w:uiPriority w:val="99"/>
    <w:rPr>
      <w:rFonts w:cs="Times New Roman"/>
      <w:color w:val="auto"/>
    </w:rPr>
  </w:style>
  <w:style w:type="paragraph" w:customStyle="1" w:styleId="100">
    <w:name w:val="CM4"/>
    <w:basedOn w:val="92"/>
    <w:next w:val="92"/>
    <w:qFormat/>
    <w:uiPriority w:val="99"/>
    <w:rPr>
      <w:rFonts w:cs="Times New Roman"/>
      <w:color w:val="auto"/>
    </w:rPr>
  </w:style>
  <w:style w:type="paragraph" w:customStyle="1" w:styleId="101">
    <w:name w:val="CM6"/>
    <w:basedOn w:val="92"/>
    <w:next w:val="92"/>
    <w:qFormat/>
    <w:uiPriority w:val="99"/>
    <w:pPr>
      <w:spacing w:line="318" w:lineRule="atLeast"/>
    </w:pPr>
    <w:rPr>
      <w:rFonts w:cs="Times New Roman"/>
      <w:color w:val="auto"/>
    </w:rPr>
  </w:style>
  <w:style w:type="paragraph" w:customStyle="1" w:styleId="102">
    <w:name w:val="CM112"/>
    <w:basedOn w:val="92"/>
    <w:next w:val="92"/>
    <w:qFormat/>
    <w:uiPriority w:val="99"/>
    <w:rPr>
      <w:rFonts w:cs="Times New Roman"/>
      <w:color w:val="auto"/>
    </w:rPr>
  </w:style>
  <w:style w:type="paragraph" w:customStyle="1" w:styleId="103">
    <w:name w:val="CM34"/>
    <w:basedOn w:val="92"/>
    <w:next w:val="92"/>
    <w:qFormat/>
    <w:uiPriority w:val="99"/>
    <w:rPr>
      <w:rFonts w:cs="Times New Roman"/>
      <w:color w:val="auto"/>
    </w:rPr>
  </w:style>
  <w:style w:type="paragraph" w:customStyle="1" w:styleId="104">
    <w:name w:val="CM48"/>
    <w:basedOn w:val="92"/>
    <w:next w:val="92"/>
    <w:qFormat/>
    <w:uiPriority w:val="99"/>
    <w:pPr>
      <w:spacing w:line="440" w:lineRule="atLeast"/>
    </w:pPr>
    <w:rPr>
      <w:rFonts w:cs="Times New Roman"/>
      <w:color w:val="auto"/>
    </w:rPr>
  </w:style>
  <w:style w:type="paragraph" w:customStyle="1" w:styleId="105">
    <w:name w:val="CM110"/>
    <w:basedOn w:val="92"/>
    <w:next w:val="92"/>
    <w:qFormat/>
    <w:uiPriority w:val="99"/>
    <w:rPr>
      <w:rFonts w:cs="Times New Roman"/>
      <w:color w:val="auto"/>
    </w:rPr>
  </w:style>
  <w:style w:type="paragraph" w:customStyle="1" w:styleId="106">
    <w:name w:val="CM12"/>
    <w:basedOn w:val="92"/>
    <w:next w:val="92"/>
    <w:qFormat/>
    <w:uiPriority w:val="99"/>
    <w:pPr>
      <w:spacing w:line="313" w:lineRule="atLeast"/>
    </w:pPr>
    <w:rPr>
      <w:rFonts w:cs="Times New Roman"/>
      <w:color w:val="auto"/>
    </w:rPr>
  </w:style>
  <w:style w:type="paragraph" w:customStyle="1" w:styleId="107">
    <w:name w:val="CM94"/>
    <w:basedOn w:val="92"/>
    <w:next w:val="92"/>
    <w:qFormat/>
    <w:uiPriority w:val="99"/>
    <w:pPr>
      <w:spacing w:line="440" w:lineRule="atLeast"/>
    </w:pPr>
    <w:rPr>
      <w:rFonts w:cs="Times New Roman"/>
      <w:color w:val="auto"/>
    </w:rPr>
  </w:style>
  <w:style w:type="paragraph" w:customStyle="1" w:styleId="108">
    <w:name w:val="CM57"/>
    <w:basedOn w:val="92"/>
    <w:next w:val="92"/>
    <w:qFormat/>
    <w:uiPriority w:val="99"/>
    <w:pPr>
      <w:spacing w:line="400" w:lineRule="atLeast"/>
    </w:pPr>
    <w:rPr>
      <w:rFonts w:cs="Times New Roman"/>
      <w:color w:val="auto"/>
    </w:rPr>
  </w:style>
  <w:style w:type="paragraph" w:customStyle="1" w:styleId="109">
    <w:name w:val="CM22"/>
    <w:basedOn w:val="92"/>
    <w:next w:val="92"/>
    <w:qFormat/>
    <w:uiPriority w:val="99"/>
    <w:rPr>
      <w:rFonts w:cs="Times New Roman"/>
      <w:color w:val="auto"/>
    </w:rPr>
  </w:style>
  <w:style w:type="paragraph" w:customStyle="1" w:styleId="110">
    <w:name w:val="TOC 标题1"/>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11">
    <w:name w:val="CM25"/>
    <w:basedOn w:val="92"/>
    <w:next w:val="92"/>
    <w:qFormat/>
    <w:uiPriority w:val="99"/>
    <w:pPr>
      <w:spacing w:line="400" w:lineRule="atLeast"/>
    </w:pPr>
    <w:rPr>
      <w:rFonts w:cs="Times New Roman"/>
      <w:color w:val="auto"/>
    </w:rPr>
  </w:style>
  <w:style w:type="paragraph" w:customStyle="1" w:styleId="112">
    <w:name w:val="CM44"/>
    <w:basedOn w:val="92"/>
    <w:next w:val="92"/>
    <w:qFormat/>
    <w:uiPriority w:val="99"/>
    <w:rPr>
      <w:rFonts w:cs="Times New Roman"/>
      <w:color w:val="auto"/>
    </w:rPr>
  </w:style>
  <w:style w:type="paragraph" w:customStyle="1" w:styleId="113">
    <w:name w:val="样式3"/>
    <w:basedOn w:val="1"/>
    <w:qFormat/>
    <w:uiPriority w:val="0"/>
    <w:pPr>
      <w:keepNext/>
      <w:keepLines/>
      <w:spacing w:line="400" w:lineRule="exact"/>
      <w:outlineLvl w:val="0"/>
    </w:pPr>
    <w:rPr>
      <w:rFonts w:ascii="Times New Roman" w:hAnsi="Times New Roman"/>
      <w:b/>
      <w:bCs/>
      <w:kern w:val="44"/>
      <w:sz w:val="28"/>
      <w:szCs w:val="44"/>
    </w:rPr>
  </w:style>
  <w:style w:type="paragraph" w:customStyle="1" w:styleId="114">
    <w:name w:val="CM105"/>
    <w:basedOn w:val="92"/>
    <w:next w:val="92"/>
    <w:qFormat/>
    <w:uiPriority w:val="99"/>
    <w:rPr>
      <w:rFonts w:cs="Times New Roman"/>
      <w:color w:val="auto"/>
    </w:rPr>
  </w:style>
  <w:style w:type="paragraph" w:customStyle="1" w:styleId="115">
    <w:name w:val="CM90"/>
    <w:basedOn w:val="92"/>
    <w:next w:val="92"/>
    <w:qFormat/>
    <w:uiPriority w:val="99"/>
    <w:pPr>
      <w:spacing w:line="440" w:lineRule="atLeast"/>
    </w:pPr>
    <w:rPr>
      <w:rFonts w:cs="Times New Roman"/>
      <w:color w:val="auto"/>
    </w:rPr>
  </w:style>
  <w:style w:type="paragraph" w:customStyle="1" w:styleId="116">
    <w:name w:val="CM70"/>
    <w:basedOn w:val="92"/>
    <w:next w:val="92"/>
    <w:qFormat/>
    <w:uiPriority w:val="99"/>
    <w:pPr>
      <w:spacing w:line="400" w:lineRule="atLeast"/>
    </w:pPr>
    <w:rPr>
      <w:rFonts w:cs="Times New Roman"/>
      <w:color w:val="auto"/>
    </w:rPr>
  </w:style>
  <w:style w:type="paragraph" w:customStyle="1" w:styleId="117">
    <w:name w:val="CM74"/>
    <w:basedOn w:val="92"/>
    <w:next w:val="92"/>
    <w:qFormat/>
    <w:uiPriority w:val="99"/>
    <w:pPr>
      <w:spacing w:line="400" w:lineRule="atLeast"/>
    </w:pPr>
    <w:rPr>
      <w:rFonts w:cs="Times New Roman"/>
      <w:color w:val="auto"/>
    </w:rPr>
  </w:style>
  <w:style w:type="paragraph" w:customStyle="1" w:styleId="118">
    <w:name w:val="CM104"/>
    <w:basedOn w:val="92"/>
    <w:next w:val="92"/>
    <w:qFormat/>
    <w:uiPriority w:val="99"/>
    <w:rPr>
      <w:rFonts w:cs="Times New Roman"/>
      <w:color w:val="auto"/>
    </w:rPr>
  </w:style>
  <w:style w:type="paragraph" w:customStyle="1" w:styleId="119">
    <w:name w:val="CM2"/>
    <w:basedOn w:val="92"/>
    <w:next w:val="92"/>
    <w:qFormat/>
    <w:uiPriority w:val="99"/>
    <w:pPr>
      <w:spacing w:line="500" w:lineRule="atLeast"/>
    </w:pPr>
    <w:rPr>
      <w:rFonts w:cs="Times New Roman"/>
      <w:color w:val="auto"/>
    </w:rPr>
  </w:style>
  <w:style w:type="paragraph" w:customStyle="1" w:styleId="120">
    <w:name w:val="CM55"/>
    <w:basedOn w:val="92"/>
    <w:next w:val="92"/>
    <w:qFormat/>
    <w:uiPriority w:val="99"/>
    <w:pPr>
      <w:spacing w:line="400" w:lineRule="atLeast"/>
    </w:pPr>
    <w:rPr>
      <w:rFonts w:cs="Times New Roman"/>
      <w:color w:val="auto"/>
    </w:rPr>
  </w:style>
  <w:style w:type="paragraph" w:customStyle="1" w:styleId="121">
    <w:name w:val="CM109"/>
    <w:basedOn w:val="92"/>
    <w:next w:val="92"/>
    <w:qFormat/>
    <w:uiPriority w:val="99"/>
    <w:rPr>
      <w:rFonts w:cs="Times New Roman"/>
      <w:color w:val="auto"/>
    </w:rPr>
  </w:style>
  <w:style w:type="paragraph" w:customStyle="1" w:styleId="122">
    <w:name w:val="CM99"/>
    <w:basedOn w:val="92"/>
    <w:next w:val="92"/>
    <w:qFormat/>
    <w:uiPriority w:val="99"/>
    <w:rPr>
      <w:rFonts w:cs="Times New Roman"/>
      <w:color w:val="auto"/>
    </w:rPr>
  </w:style>
  <w:style w:type="paragraph" w:customStyle="1" w:styleId="123">
    <w:name w:val="_Style 131"/>
    <w:next w:val="1"/>
    <w:unhideWhenUsed/>
    <w:qFormat/>
    <w:uiPriority w:val="99"/>
    <w:pPr>
      <w:widowControl w:val="0"/>
      <w:jc w:val="both"/>
    </w:pPr>
    <w:rPr>
      <w:rFonts w:ascii="Calibri" w:hAnsi="Calibri" w:eastAsia="宋体" w:cs="Times New Roman"/>
      <w:kern w:val="2"/>
      <w:sz w:val="21"/>
      <w:szCs w:val="22"/>
      <w:lang w:val="en-US" w:eastAsia="zh-CN" w:bidi="ar-SA"/>
    </w:rPr>
  </w:style>
  <w:style w:type="paragraph" w:customStyle="1" w:styleId="124">
    <w:name w:val="CM24"/>
    <w:basedOn w:val="92"/>
    <w:next w:val="92"/>
    <w:qFormat/>
    <w:uiPriority w:val="99"/>
    <w:pPr>
      <w:spacing w:line="400" w:lineRule="atLeast"/>
    </w:pPr>
    <w:rPr>
      <w:rFonts w:cs="Times New Roman"/>
      <w:color w:val="auto"/>
    </w:rPr>
  </w:style>
  <w:style w:type="paragraph" w:customStyle="1" w:styleId="125">
    <w:name w:val="CM32"/>
    <w:basedOn w:val="92"/>
    <w:next w:val="92"/>
    <w:qFormat/>
    <w:uiPriority w:val="99"/>
    <w:pPr>
      <w:spacing w:line="400" w:lineRule="atLeast"/>
    </w:pPr>
    <w:rPr>
      <w:rFonts w:cs="Times New Roman"/>
      <w:color w:val="auto"/>
    </w:rPr>
  </w:style>
  <w:style w:type="paragraph" w:customStyle="1" w:styleId="126">
    <w:name w:val="CM5"/>
    <w:basedOn w:val="92"/>
    <w:next w:val="92"/>
    <w:qFormat/>
    <w:uiPriority w:val="99"/>
    <w:rPr>
      <w:rFonts w:cs="Times New Roman"/>
      <w:color w:val="auto"/>
    </w:rPr>
  </w:style>
  <w:style w:type="paragraph" w:customStyle="1" w:styleId="127">
    <w:name w:val="CM19"/>
    <w:basedOn w:val="92"/>
    <w:next w:val="92"/>
    <w:qFormat/>
    <w:uiPriority w:val="99"/>
    <w:pPr>
      <w:spacing w:line="440" w:lineRule="atLeast"/>
    </w:pPr>
    <w:rPr>
      <w:rFonts w:cs="Times New Roman"/>
      <w:color w:val="auto"/>
    </w:rPr>
  </w:style>
  <w:style w:type="paragraph" w:customStyle="1" w:styleId="128">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center"/>
    </w:pPr>
    <w:rPr>
      <w:rFonts w:ascii="Courier New" w:hAnsi="Courier New"/>
      <w:b/>
      <w:kern w:val="0"/>
      <w:sz w:val="44"/>
      <w:szCs w:val="20"/>
    </w:rPr>
  </w:style>
  <w:style w:type="paragraph" w:customStyle="1" w:styleId="129">
    <w:name w:val="CM18"/>
    <w:basedOn w:val="92"/>
    <w:next w:val="92"/>
    <w:qFormat/>
    <w:uiPriority w:val="99"/>
    <w:pPr>
      <w:spacing w:line="440" w:lineRule="atLeast"/>
    </w:pPr>
    <w:rPr>
      <w:rFonts w:cs="Times New Roman"/>
      <w:color w:val="auto"/>
    </w:rPr>
  </w:style>
  <w:style w:type="paragraph" w:customStyle="1" w:styleId="130">
    <w:name w:val="CM3"/>
    <w:basedOn w:val="92"/>
    <w:next w:val="92"/>
    <w:qFormat/>
    <w:uiPriority w:val="99"/>
    <w:pPr>
      <w:spacing w:line="500" w:lineRule="atLeast"/>
    </w:pPr>
    <w:rPr>
      <w:rFonts w:cs="Times New Roman"/>
      <w:color w:val="auto"/>
    </w:rPr>
  </w:style>
  <w:style w:type="paragraph" w:customStyle="1" w:styleId="131">
    <w:name w:val="CM98"/>
    <w:basedOn w:val="92"/>
    <w:next w:val="92"/>
    <w:qFormat/>
    <w:uiPriority w:val="99"/>
    <w:rPr>
      <w:rFonts w:cs="Times New Roman"/>
      <w:color w:val="auto"/>
    </w:rPr>
  </w:style>
  <w:style w:type="paragraph" w:customStyle="1" w:styleId="132">
    <w:name w:val="CM40"/>
    <w:basedOn w:val="92"/>
    <w:next w:val="92"/>
    <w:qFormat/>
    <w:uiPriority w:val="99"/>
    <w:pPr>
      <w:spacing w:line="400" w:lineRule="atLeast"/>
    </w:pPr>
    <w:rPr>
      <w:rFonts w:cs="Times New Roman"/>
      <w:color w:val="auto"/>
    </w:rPr>
  </w:style>
  <w:style w:type="paragraph" w:customStyle="1" w:styleId="133">
    <w:name w:val="CM92"/>
    <w:basedOn w:val="92"/>
    <w:next w:val="92"/>
    <w:qFormat/>
    <w:uiPriority w:val="99"/>
    <w:pPr>
      <w:spacing w:line="443" w:lineRule="atLeast"/>
    </w:pPr>
    <w:rPr>
      <w:rFonts w:cs="Times New Roman"/>
      <w:color w:val="auto"/>
    </w:rPr>
  </w:style>
  <w:style w:type="paragraph" w:customStyle="1" w:styleId="134">
    <w:name w:val="CM13"/>
    <w:basedOn w:val="92"/>
    <w:next w:val="92"/>
    <w:qFormat/>
    <w:uiPriority w:val="99"/>
    <w:rPr>
      <w:rFonts w:cs="Times New Roman"/>
      <w:color w:val="auto"/>
    </w:rPr>
  </w:style>
  <w:style w:type="paragraph" w:customStyle="1" w:styleId="135">
    <w:name w:val="CM29"/>
    <w:basedOn w:val="92"/>
    <w:next w:val="92"/>
    <w:qFormat/>
    <w:uiPriority w:val="99"/>
    <w:pPr>
      <w:spacing w:line="400" w:lineRule="atLeast"/>
    </w:pPr>
    <w:rPr>
      <w:rFonts w:cs="Times New Roman"/>
      <w:color w:val="auto"/>
    </w:rPr>
  </w:style>
  <w:style w:type="paragraph" w:customStyle="1" w:styleId="136">
    <w:name w:val="Char Char Char Char Char Char Char"/>
    <w:basedOn w:val="16"/>
    <w:qFormat/>
    <w:uiPriority w:val="0"/>
    <w:rPr>
      <w:rFonts w:ascii="Tahoma" w:hAnsi="Tahoma"/>
      <w:sz w:val="24"/>
    </w:rPr>
  </w:style>
  <w:style w:type="paragraph" w:customStyle="1" w:styleId="137">
    <w:name w:val="CM45"/>
    <w:basedOn w:val="92"/>
    <w:next w:val="92"/>
    <w:qFormat/>
    <w:uiPriority w:val="99"/>
    <w:rPr>
      <w:rFonts w:cs="Times New Roman"/>
      <w:color w:val="auto"/>
    </w:rPr>
  </w:style>
  <w:style w:type="paragraph" w:customStyle="1" w:styleId="138">
    <w:name w:val="CM114"/>
    <w:basedOn w:val="92"/>
    <w:next w:val="92"/>
    <w:qFormat/>
    <w:uiPriority w:val="99"/>
    <w:rPr>
      <w:rFonts w:cs="Times New Roman"/>
      <w:color w:val="auto"/>
    </w:rPr>
  </w:style>
  <w:style w:type="paragraph" w:customStyle="1" w:styleId="139">
    <w:name w:val="CM9"/>
    <w:basedOn w:val="92"/>
    <w:next w:val="92"/>
    <w:qFormat/>
    <w:uiPriority w:val="99"/>
    <w:rPr>
      <w:rFonts w:cs="Times New Roman"/>
      <w:color w:val="auto"/>
    </w:rPr>
  </w:style>
  <w:style w:type="paragraph" w:customStyle="1" w:styleId="140">
    <w:name w:val="Char Char Char Char Char Char Char Char Char Char Char Char Char"/>
    <w:basedOn w:val="1"/>
    <w:qFormat/>
    <w:uiPriority w:val="0"/>
    <w:pPr>
      <w:spacing w:line="360" w:lineRule="auto"/>
      <w:ind w:firstLine="200" w:firstLineChars="200"/>
    </w:pPr>
    <w:rPr>
      <w:rFonts w:ascii="宋体" w:hAnsi="宋体" w:cs="宋体"/>
      <w:sz w:val="24"/>
      <w:szCs w:val="24"/>
    </w:rPr>
  </w:style>
  <w:style w:type="paragraph" w:customStyle="1" w:styleId="141">
    <w:name w:val="CM47"/>
    <w:basedOn w:val="92"/>
    <w:next w:val="92"/>
    <w:qFormat/>
    <w:uiPriority w:val="99"/>
    <w:pPr>
      <w:spacing w:line="540" w:lineRule="atLeast"/>
    </w:pPr>
    <w:rPr>
      <w:rFonts w:cs="Times New Roman"/>
      <w:color w:val="auto"/>
    </w:rPr>
  </w:style>
  <w:style w:type="paragraph" w:customStyle="1" w:styleId="142">
    <w:name w:val="样式 标题 3 + (中文) 黑体 小四 非加粗 段前: 7.8 磅 段后: 0 磅 行距: 固定值 20 磅"/>
    <w:basedOn w:val="4"/>
    <w:qFormat/>
    <w:uiPriority w:val="0"/>
    <w:pPr>
      <w:spacing w:before="0" w:after="0" w:line="400" w:lineRule="exact"/>
    </w:pPr>
    <w:rPr>
      <w:rFonts w:ascii="Times New Roman" w:hAnsi="Times New Roman" w:eastAsia="黑体" w:cs="宋体"/>
      <w:b w:val="0"/>
      <w:bCs w:val="0"/>
      <w:sz w:val="24"/>
      <w:szCs w:val="20"/>
    </w:rPr>
  </w:style>
  <w:style w:type="paragraph" w:customStyle="1" w:styleId="143">
    <w:name w:val="Char Char"/>
    <w:basedOn w:val="1"/>
    <w:qFormat/>
    <w:uiPriority w:val="0"/>
    <w:rPr>
      <w:rFonts w:ascii="Tahoma" w:hAnsi="Tahoma"/>
      <w:sz w:val="24"/>
      <w:szCs w:val="20"/>
    </w:rPr>
  </w:style>
  <w:style w:type="paragraph" w:customStyle="1" w:styleId="144">
    <w:name w:val="Char Char1 Char Char Char Char Char Char Char Char Char Char Char Char"/>
    <w:basedOn w:val="1"/>
    <w:qFormat/>
    <w:uiPriority w:val="0"/>
    <w:pPr>
      <w:spacing w:line="360" w:lineRule="auto"/>
      <w:ind w:firstLine="200" w:firstLineChars="200"/>
    </w:pPr>
    <w:rPr>
      <w:rFonts w:ascii="宋体" w:hAnsi="宋体" w:cs="宋体"/>
      <w:sz w:val="24"/>
      <w:szCs w:val="24"/>
    </w:rPr>
  </w:style>
  <w:style w:type="paragraph" w:customStyle="1" w:styleId="145">
    <w:name w:val="CM1"/>
    <w:basedOn w:val="92"/>
    <w:next w:val="92"/>
    <w:qFormat/>
    <w:uiPriority w:val="99"/>
    <w:rPr>
      <w:rFonts w:cs="Times New Roman"/>
      <w:color w:val="auto"/>
    </w:rPr>
  </w:style>
  <w:style w:type="paragraph" w:customStyle="1" w:styleId="146">
    <w:name w:val="CM7"/>
    <w:basedOn w:val="92"/>
    <w:next w:val="92"/>
    <w:qFormat/>
    <w:uiPriority w:val="99"/>
    <w:pPr>
      <w:spacing w:line="318" w:lineRule="atLeast"/>
    </w:pPr>
    <w:rPr>
      <w:rFonts w:cs="Times New Roman"/>
      <w:color w:val="auto"/>
    </w:rPr>
  </w:style>
  <w:style w:type="paragraph" w:customStyle="1" w:styleId="147">
    <w:name w:val="CM17"/>
    <w:basedOn w:val="92"/>
    <w:next w:val="92"/>
    <w:qFormat/>
    <w:uiPriority w:val="99"/>
    <w:pPr>
      <w:spacing w:line="440" w:lineRule="atLeast"/>
    </w:pPr>
    <w:rPr>
      <w:rFonts w:cs="Times New Roman"/>
      <w:color w:val="auto"/>
    </w:rPr>
  </w:style>
  <w:style w:type="paragraph" w:customStyle="1" w:styleId="148">
    <w:name w:val="CM96"/>
    <w:basedOn w:val="92"/>
    <w:next w:val="92"/>
    <w:qFormat/>
    <w:uiPriority w:val="99"/>
    <w:rPr>
      <w:rFonts w:cs="Times New Roman"/>
      <w:color w:val="auto"/>
    </w:rPr>
  </w:style>
  <w:style w:type="paragraph" w:customStyle="1" w:styleId="149">
    <w:name w:val="Char Char Char Char"/>
    <w:basedOn w:val="1"/>
    <w:qFormat/>
    <w:uiPriority w:val="0"/>
    <w:pPr>
      <w:spacing w:line="360" w:lineRule="auto"/>
      <w:ind w:firstLine="200" w:firstLineChars="200"/>
    </w:pPr>
    <w:rPr>
      <w:rFonts w:ascii="宋体" w:hAnsi="宋体" w:cs="宋体"/>
      <w:sz w:val="24"/>
      <w:szCs w:val="24"/>
    </w:rPr>
  </w:style>
  <w:style w:type="paragraph" w:customStyle="1" w:styleId="150">
    <w:name w:val="CM97"/>
    <w:basedOn w:val="92"/>
    <w:next w:val="92"/>
    <w:qFormat/>
    <w:uiPriority w:val="99"/>
    <w:rPr>
      <w:rFonts w:cs="Times New Roman"/>
      <w:color w:val="auto"/>
    </w:rPr>
  </w:style>
  <w:style w:type="paragraph" w:customStyle="1" w:styleId="151">
    <w:name w:val="CM11"/>
    <w:basedOn w:val="92"/>
    <w:next w:val="92"/>
    <w:qFormat/>
    <w:uiPriority w:val="99"/>
    <w:pPr>
      <w:spacing w:line="313" w:lineRule="atLeast"/>
    </w:pPr>
    <w:rPr>
      <w:rFonts w:cs="Times New Roman"/>
      <w:color w:val="auto"/>
    </w:rPr>
  </w:style>
  <w:style w:type="paragraph" w:customStyle="1" w:styleId="152">
    <w:name w:val="CM35"/>
    <w:basedOn w:val="92"/>
    <w:next w:val="92"/>
    <w:qFormat/>
    <w:uiPriority w:val="99"/>
    <w:pPr>
      <w:spacing w:line="400" w:lineRule="atLeast"/>
    </w:pPr>
    <w:rPr>
      <w:rFonts w:cs="Times New Roman"/>
      <w:color w:val="auto"/>
    </w:rPr>
  </w:style>
  <w:style w:type="paragraph" w:customStyle="1" w:styleId="153">
    <w:name w:val="CM102"/>
    <w:basedOn w:val="92"/>
    <w:next w:val="92"/>
    <w:qFormat/>
    <w:uiPriority w:val="99"/>
    <w:rPr>
      <w:rFonts w:cs="Times New Roman"/>
      <w:color w:val="auto"/>
    </w:rPr>
  </w:style>
  <w:style w:type="paragraph" w:customStyle="1" w:styleId="154">
    <w:name w:val="CM54"/>
    <w:basedOn w:val="92"/>
    <w:next w:val="92"/>
    <w:qFormat/>
    <w:uiPriority w:val="99"/>
    <w:rPr>
      <w:rFonts w:cs="Times New Roman"/>
      <w:color w:val="auto"/>
    </w:rPr>
  </w:style>
  <w:style w:type="paragraph" w:customStyle="1" w:styleId="155">
    <w:name w:val="样式 标题 2 + Times New Roman 四号 非加粗 段前: 5 磅 段后: 0 磅 行距: 固定值 20..."/>
    <w:basedOn w:val="3"/>
    <w:qFormat/>
    <w:uiPriority w:val="0"/>
    <w:pPr>
      <w:spacing w:before="100" w:after="0" w:line="400" w:lineRule="exact"/>
    </w:pPr>
    <w:rPr>
      <w:rFonts w:ascii="Times New Roman" w:hAnsi="Times New Roman" w:eastAsia="黑体" w:cs="宋体"/>
      <w:b w:val="0"/>
      <w:bCs w:val="0"/>
      <w:sz w:val="28"/>
      <w:szCs w:val="20"/>
    </w:rPr>
  </w:style>
  <w:style w:type="paragraph" w:customStyle="1" w:styleId="156">
    <w:name w:val="CM84"/>
    <w:basedOn w:val="92"/>
    <w:next w:val="92"/>
    <w:qFormat/>
    <w:uiPriority w:val="99"/>
    <w:pPr>
      <w:spacing w:line="400" w:lineRule="atLeast"/>
    </w:pPr>
    <w:rPr>
      <w:rFonts w:cs="Times New Roman"/>
      <w:color w:val="auto"/>
    </w:rPr>
  </w:style>
  <w:style w:type="paragraph" w:customStyle="1" w:styleId="157">
    <w:name w:val="CM60"/>
    <w:basedOn w:val="92"/>
    <w:next w:val="92"/>
    <w:qFormat/>
    <w:uiPriority w:val="99"/>
    <w:pPr>
      <w:spacing w:line="400" w:lineRule="atLeast"/>
    </w:pPr>
    <w:rPr>
      <w:rFonts w:cs="Times New Roman"/>
      <w:color w:val="auto"/>
    </w:rPr>
  </w:style>
  <w:style w:type="paragraph" w:customStyle="1" w:styleId="158">
    <w:name w:val="CM46"/>
    <w:basedOn w:val="92"/>
    <w:next w:val="92"/>
    <w:qFormat/>
    <w:uiPriority w:val="99"/>
    <w:pPr>
      <w:spacing w:line="440" w:lineRule="atLeast"/>
    </w:pPr>
    <w:rPr>
      <w:rFonts w:cs="Times New Roman"/>
      <w:color w:val="auto"/>
    </w:rPr>
  </w:style>
  <w:style w:type="paragraph" w:customStyle="1" w:styleId="159">
    <w:name w:val="CM62"/>
    <w:basedOn w:val="92"/>
    <w:next w:val="92"/>
    <w:qFormat/>
    <w:uiPriority w:val="99"/>
    <w:rPr>
      <w:rFonts w:cs="Times New Roman"/>
      <w:color w:val="auto"/>
    </w:rPr>
  </w:style>
  <w:style w:type="paragraph" w:customStyle="1" w:styleId="160">
    <w:name w:val="1 Char"/>
    <w:basedOn w:val="1"/>
    <w:qFormat/>
    <w:uiPriority w:val="0"/>
    <w:pPr>
      <w:spacing w:line="360" w:lineRule="auto"/>
      <w:ind w:firstLine="200" w:firstLineChars="200"/>
    </w:pPr>
    <w:rPr>
      <w:rFonts w:ascii="宋体" w:hAnsi="宋体" w:cs="宋体"/>
      <w:sz w:val="24"/>
      <w:szCs w:val="24"/>
    </w:rPr>
  </w:style>
  <w:style w:type="paragraph" w:customStyle="1" w:styleId="161">
    <w:name w:val="CM107"/>
    <w:basedOn w:val="92"/>
    <w:next w:val="92"/>
    <w:qFormat/>
    <w:uiPriority w:val="99"/>
    <w:rPr>
      <w:rFonts w:cs="Times New Roman"/>
      <w:color w:val="auto"/>
    </w:rPr>
  </w:style>
  <w:style w:type="paragraph" w:customStyle="1" w:styleId="162">
    <w:name w:val="CM115"/>
    <w:basedOn w:val="92"/>
    <w:next w:val="92"/>
    <w:qFormat/>
    <w:uiPriority w:val="99"/>
    <w:rPr>
      <w:rFonts w:cs="Times New Roman"/>
      <w:color w:val="auto"/>
    </w:rPr>
  </w:style>
  <w:style w:type="paragraph" w:customStyle="1" w:styleId="163">
    <w:name w:val="Char1"/>
    <w:basedOn w:val="1"/>
    <w:qFormat/>
    <w:uiPriority w:val="0"/>
    <w:pPr>
      <w:spacing w:line="360" w:lineRule="auto"/>
      <w:ind w:firstLine="200" w:firstLineChars="200"/>
    </w:pPr>
    <w:rPr>
      <w:rFonts w:ascii="宋体" w:hAnsi="宋体" w:cs="宋体"/>
      <w:sz w:val="24"/>
      <w:szCs w:val="24"/>
    </w:rPr>
  </w:style>
  <w:style w:type="paragraph" w:customStyle="1" w:styleId="164">
    <w:name w:val="CM88"/>
    <w:basedOn w:val="92"/>
    <w:next w:val="92"/>
    <w:qFormat/>
    <w:uiPriority w:val="99"/>
    <w:pPr>
      <w:spacing w:line="440" w:lineRule="atLeast"/>
    </w:pPr>
    <w:rPr>
      <w:rFonts w:cs="Times New Roman"/>
      <w:color w:val="auto"/>
    </w:rPr>
  </w:style>
  <w:style w:type="paragraph" w:styleId="165">
    <w:name w:val="List Paragraph"/>
    <w:basedOn w:val="1"/>
    <w:qFormat/>
    <w:uiPriority w:val="99"/>
    <w:pPr>
      <w:ind w:firstLine="420" w:firstLineChars="200"/>
    </w:pPr>
  </w:style>
  <w:style w:type="paragraph" w:customStyle="1" w:styleId="166">
    <w:name w:val="CM52"/>
    <w:basedOn w:val="92"/>
    <w:next w:val="92"/>
    <w:qFormat/>
    <w:uiPriority w:val="99"/>
    <w:pPr>
      <w:spacing w:line="400" w:lineRule="atLeast"/>
    </w:pPr>
    <w:rPr>
      <w:rFonts w:cs="Times New Roman"/>
      <w:color w:val="auto"/>
    </w:rPr>
  </w:style>
  <w:style w:type="paragraph" w:customStyle="1" w:styleId="167">
    <w:name w:val="CM41"/>
    <w:basedOn w:val="92"/>
    <w:next w:val="92"/>
    <w:qFormat/>
    <w:uiPriority w:val="99"/>
    <w:pPr>
      <w:spacing w:line="400" w:lineRule="atLeast"/>
    </w:pPr>
    <w:rPr>
      <w:rFonts w:cs="Times New Roman"/>
      <w:color w:val="auto"/>
    </w:rPr>
  </w:style>
  <w:style w:type="paragraph" w:customStyle="1" w:styleId="168">
    <w:name w:val="CM43"/>
    <w:basedOn w:val="92"/>
    <w:next w:val="92"/>
    <w:qFormat/>
    <w:uiPriority w:val="99"/>
    <w:pPr>
      <w:spacing w:line="440" w:lineRule="atLeast"/>
    </w:pPr>
    <w:rPr>
      <w:rFonts w:cs="Times New Roman"/>
      <w:color w:val="auto"/>
    </w:rPr>
  </w:style>
  <w:style w:type="paragraph" w:customStyle="1" w:styleId="169">
    <w:name w:val="CM101"/>
    <w:basedOn w:val="92"/>
    <w:next w:val="92"/>
    <w:qFormat/>
    <w:uiPriority w:val="99"/>
    <w:rPr>
      <w:rFonts w:cs="Times New Roman"/>
      <w:color w:val="auto"/>
    </w:rPr>
  </w:style>
  <w:style w:type="paragraph" w:customStyle="1" w:styleId="170">
    <w:name w:val="CM26"/>
    <w:basedOn w:val="92"/>
    <w:next w:val="92"/>
    <w:qFormat/>
    <w:uiPriority w:val="99"/>
    <w:pPr>
      <w:spacing w:line="400" w:lineRule="atLeast"/>
    </w:pPr>
    <w:rPr>
      <w:rFonts w:cs="Times New Roman"/>
      <w:color w:val="auto"/>
    </w:rPr>
  </w:style>
  <w:style w:type="paragraph" w:customStyle="1" w:styleId="171">
    <w:name w:val="CM100"/>
    <w:basedOn w:val="92"/>
    <w:next w:val="92"/>
    <w:qFormat/>
    <w:uiPriority w:val="99"/>
    <w:rPr>
      <w:rFonts w:cs="Times New Roman"/>
      <w:color w:val="auto"/>
    </w:rPr>
  </w:style>
  <w:style w:type="paragraph" w:customStyle="1" w:styleId="172">
    <w:name w:val="Char Char Char Char Char Char Char1"/>
    <w:basedOn w:val="16"/>
    <w:qFormat/>
    <w:uiPriority w:val="0"/>
    <w:rPr>
      <w:rFonts w:ascii="Tahoma" w:hAnsi="Tahoma"/>
      <w:sz w:val="24"/>
    </w:rPr>
  </w:style>
  <w:style w:type="paragraph" w:customStyle="1" w:styleId="173">
    <w:name w:val="CM83"/>
    <w:basedOn w:val="92"/>
    <w:next w:val="92"/>
    <w:qFormat/>
    <w:uiPriority w:val="99"/>
    <w:pPr>
      <w:spacing w:line="400" w:lineRule="atLeast"/>
    </w:pPr>
    <w:rPr>
      <w:rFonts w:cs="Times New Roman"/>
      <w:color w:val="auto"/>
    </w:rPr>
  </w:style>
  <w:style w:type="paragraph" w:customStyle="1" w:styleId="174">
    <w:name w:val="CM64"/>
    <w:basedOn w:val="92"/>
    <w:next w:val="92"/>
    <w:qFormat/>
    <w:uiPriority w:val="99"/>
    <w:pPr>
      <w:spacing w:line="398" w:lineRule="atLeast"/>
    </w:pPr>
    <w:rPr>
      <w:rFonts w:cs="Times New Roman"/>
      <w:color w:val="auto"/>
    </w:rPr>
  </w:style>
  <w:style w:type="paragraph" w:customStyle="1" w:styleId="175">
    <w:name w:val="CM49"/>
    <w:basedOn w:val="92"/>
    <w:next w:val="92"/>
    <w:qFormat/>
    <w:uiPriority w:val="99"/>
    <w:pPr>
      <w:spacing w:line="1020" w:lineRule="atLeast"/>
    </w:pPr>
    <w:rPr>
      <w:rFonts w:cs="Times New Roman"/>
      <w:color w:val="auto"/>
    </w:rPr>
  </w:style>
  <w:style w:type="paragraph" w:customStyle="1" w:styleId="176">
    <w:name w:val="CM95"/>
    <w:basedOn w:val="92"/>
    <w:next w:val="92"/>
    <w:qFormat/>
    <w:uiPriority w:val="99"/>
    <w:pPr>
      <w:spacing w:line="440" w:lineRule="atLeast"/>
    </w:pPr>
    <w:rPr>
      <w:rFonts w:cs="Times New Roman"/>
      <w:color w:val="auto"/>
    </w:rPr>
  </w:style>
  <w:style w:type="paragraph" w:customStyle="1" w:styleId="177">
    <w:name w:val="CM20"/>
    <w:basedOn w:val="92"/>
    <w:next w:val="92"/>
    <w:qFormat/>
    <w:uiPriority w:val="99"/>
    <w:pPr>
      <w:spacing w:line="400" w:lineRule="atLeast"/>
    </w:pPr>
    <w:rPr>
      <w:rFonts w:cs="Times New Roman"/>
      <w:color w:val="auto"/>
    </w:rPr>
  </w:style>
  <w:style w:type="paragraph" w:customStyle="1" w:styleId="178">
    <w:name w:val="Char Char Char Char Char Char Char Char Char Char"/>
    <w:basedOn w:val="1"/>
    <w:qFormat/>
    <w:uiPriority w:val="0"/>
    <w:pPr>
      <w:spacing w:line="360" w:lineRule="auto"/>
      <w:ind w:firstLine="200" w:firstLineChars="200"/>
    </w:pPr>
    <w:rPr>
      <w:rFonts w:ascii="宋体" w:hAnsi="宋体" w:cs="宋体"/>
      <w:sz w:val="24"/>
      <w:szCs w:val="24"/>
    </w:rPr>
  </w:style>
  <w:style w:type="paragraph" w:customStyle="1" w:styleId="179">
    <w:name w:val="xl25"/>
    <w:basedOn w:val="1"/>
    <w:qFormat/>
    <w:uiPriority w:val="0"/>
    <w:pPr>
      <w:widowControl/>
      <w:spacing w:before="100" w:beforeAutospacing="1" w:after="100" w:afterAutospacing="1"/>
      <w:jc w:val="center"/>
      <w:textAlignment w:val="center"/>
    </w:pPr>
    <w:rPr>
      <w:rFonts w:ascii="Arial Unicode MS" w:hAnsi="Arial Unicode MS" w:eastAsia="Arial Unicode MS"/>
      <w:kern w:val="0"/>
      <w:sz w:val="24"/>
      <w:szCs w:val="24"/>
    </w:rPr>
  </w:style>
  <w:style w:type="paragraph" w:customStyle="1" w:styleId="180">
    <w:name w:val="列出段落1"/>
    <w:basedOn w:val="1"/>
    <w:qFormat/>
    <w:uiPriority w:val="0"/>
    <w:pPr>
      <w:ind w:firstLine="420" w:firstLineChars="200"/>
    </w:pPr>
  </w:style>
  <w:style w:type="character" w:customStyle="1" w:styleId="181">
    <w:name w:val="正文文本 (2) + Sylfaen"/>
    <w:qFormat/>
    <w:uiPriority w:val="0"/>
    <w:rPr>
      <w:rFonts w:ascii="Sylfaen" w:hAnsi="Sylfaen" w:eastAsia="Sylfaen" w:cs="Sylfaen"/>
      <w:color w:val="000000"/>
      <w:spacing w:val="0"/>
      <w:w w:val="100"/>
      <w:position w:val="0"/>
      <w:sz w:val="22"/>
      <w:szCs w:val="22"/>
      <w:u w:val="none"/>
      <w:lang w:val="en-US" w:eastAsia="en-US" w:bidi="en-US"/>
    </w:rPr>
  </w:style>
  <w:style w:type="character" w:customStyle="1" w:styleId="182">
    <w:name w:val="正文文本 (2)_"/>
    <w:link w:val="183"/>
    <w:qFormat/>
    <w:uiPriority w:val="0"/>
    <w:rPr>
      <w:rFonts w:ascii="宋体" w:hAnsi="宋体" w:cs="宋体"/>
      <w:sz w:val="22"/>
      <w:szCs w:val="22"/>
      <w:shd w:val="clear" w:color="auto" w:fill="FFFFFF"/>
    </w:rPr>
  </w:style>
  <w:style w:type="paragraph" w:customStyle="1" w:styleId="183">
    <w:name w:val="正文文本 (2)"/>
    <w:basedOn w:val="1"/>
    <w:link w:val="182"/>
    <w:qFormat/>
    <w:uiPriority w:val="0"/>
    <w:pPr>
      <w:shd w:val="clear" w:color="auto" w:fill="FFFFFF"/>
      <w:spacing w:before="300" w:line="439" w:lineRule="exact"/>
      <w:jc w:val="distribute"/>
    </w:pPr>
    <w:rPr>
      <w:rFonts w:ascii="宋体" w:hAnsi="宋体" w:cs="宋体"/>
      <w:kern w:val="0"/>
      <w:sz w:val="22"/>
    </w:rPr>
  </w:style>
  <w:style w:type="character" w:customStyle="1" w:styleId="184">
    <w:name w:val="正文文本 (2) + Times New Roman"/>
    <w:qFormat/>
    <w:uiPriority w:val="0"/>
    <w:rPr>
      <w:rFonts w:ascii="Times New Roman" w:hAnsi="Times New Roman" w:eastAsia="Times New Roman" w:cs="Times New Roman"/>
      <w:color w:val="000000"/>
      <w:spacing w:val="0"/>
      <w:w w:val="100"/>
      <w:position w:val="0"/>
      <w:sz w:val="24"/>
      <w:szCs w:val="24"/>
      <w:u w:val="none"/>
      <w:shd w:val="clear" w:color="auto" w:fill="FFFFFF"/>
      <w:lang w:val="en-US" w:eastAsia="en-US" w:bidi="en-US"/>
    </w:rPr>
  </w:style>
  <w:style w:type="character" w:customStyle="1" w:styleId="185">
    <w:name w:val="正文文本 (2) + Lucida Sans Unicode"/>
    <w:qFormat/>
    <w:uiPriority w:val="0"/>
    <w:rPr>
      <w:rFonts w:ascii="Lucida Sans Unicode" w:hAnsi="Lucida Sans Unicode" w:eastAsia="Lucida Sans Unicode" w:cs="Lucida Sans Unicode"/>
      <w:b/>
      <w:bCs/>
      <w:color w:val="000000"/>
      <w:spacing w:val="0"/>
      <w:w w:val="100"/>
      <w:position w:val="0"/>
      <w:sz w:val="20"/>
      <w:szCs w:val="20"/>
      <w:u w:val="none"/>
      <w:shd w:val="clear" w:color="auto" w:fill="FFFFFF"/>
      <w:lang w:val="en-US" w:eastAsia="en-US" w:bidi="en-US"/>
    </w:rPr>
  </w:style>
  <w:style w:type="character" w:customStyle="1" w:styleId="186">
    <w:name w:val="正文文本 (2) + 11.5 pt"/>
    <w:qFormat/>
    <w:uiPriority w:val="0"/>
    <w:rPr>
      <w:rFonts w:ascii="宋体" w:hAnsi="宋体" w:eastAsia="宋体" w:cs="宋体"/>
      <w:b/>
      <w:bCs/>
      <w:color w:val="000000"/>
      <w:spacing w:val="0"/>
      <w:w w:val="100"/>
      <w:position w:val="0"/>
      <w:sz w:val="23"/>
      <w:szCs w:val="23"/>
      <w:u w:val="none"/>
      <w:shd w:val="clear" w:color="auto" w:fill="FFFFFF"/>
      <w:lang w:val="zh-TW" w:eastAsia="zh-TW" w:bidi="zh-TW"/>
    </w:rPr>
  </w:style>
  <w:style w:type="character" w:customStyle="1" w:styleId="187">
    <w:name w:val="正文文本 (7) + 间距 0 pt Exact"/>
    <w:qFormat/>
    <w:uiPriority w:val="0"/>
    <w:rPr>
      <w:rFonts w:ascii="宋体" w:hAnsi="宋体" w:eastAsia="宋体" w:cs="宋体"/>
      <w:color w:val="000000"/>
      <w:spacing w:val="0"/>
      <w:w w:val="100"/>
      <w:position w:val="0"/>
      <w:sz w:val="22"/>
      <w:szCs w:val="22"/>
      <w:u w:val="none"/>
      <w:lang w:val="zh-TW" w:eastAsia="zh-TW" w:bidi="zh-TW"/>
    </w:rPr>
  </w:style>
  <w:style w:type="character" w:customStyle="1" w:styleId="188">
    <w:name w:val="正文文本 (7)_"/>
    <w:link w:val="189"/>
    <w:qFormat/>
    <w:uiPriority w:val="0"/>
    <w:rPr>
      <w:rFonts w:ascii="宋体" w:hAnsi="宋体" w:cs="宋体"/>
      <w:spacing w:val="10"/>
      <w:sz w:val="22"/>
      <w:szCs w:val="22"/>
      <w:shd w:val="clear" w:color="auto" w:fill="FFFFFF"/>
    </w:rPr>
  </w:style>
  <w:style w:type="paragraph" w:customStyle="1" w:styleId="189">
    <w:name w:val="正文文本 (7)"/>
    <w:basedOn w:val="1"/>
    <w:link w:val="188"/>
    <w:qFormat/>
    <w:uiPriority w:val="0"/>
    <w:pPr>
      <w:shd w:val="clear" w:color="auto" w:fill="FFFFFF"/>
      <w:spacing w:before="120" w:after="300" w:line="0" w:lineRule="atLeast"/>
      <w:jc w:val="center"/>
    </w:pPr>
    <w:rPr>
      <w:rFonts w:ascii="宋体" w:hAnsi="宋体" w:cs="宋体"/>
      <w:spacing w:val="10"/>
      <w:kern w:val="0"/>
      <w:sz w:val="22"/>
    </w:rPr>
  </w:style>
  <w:style w:type="character" w:customStyle="1" w:styleId="190">
    <w:name w:val="正文文本 (14)_"/>
    <w:link w:val="191"/>
    <w:qFormat/>
    <w:uiPriority w:val="0"/>
    <w:rPr>
      <w:rFonts w:ascii="宋体" w:hAnsi="宋体" w:cs="宋体"/>
      <w:sz w:val="18"/>
      <w:szCs w:val="18"/>
      <w:shd w:val="clear" w:color="auto" w:fill="FFFFFF"/>
    </w:rPr>
  </w:style>
  <w:style w:type="paragraph" w:customStyle="1" w:styleId="191">
    <w:name w:val="正文文本 (14)"/>
    <w:basedOn w:val="1"/>
    <w:link w:val="190"/>
    <w:qFormat/>
    <w:uiPriority w:val="0"/>
    <w:pPr>
      <w:shd w:val="clear" w:color="auto" w:fill="FFFFFF"/>
      <w:spacing w:before="300" w:line="300" w:lineRule="exact"/>
      <w:jc w:val="distribute"/>
    </w:pPr>
    <w:rPr>
      <w:rFonts w:ascii="宋体" w:hAnsi="宋体" w:cs="宋体"/>
      <w:kern w:val="0"/>
      <w:sz w:val="18"/>
      <w:szCs w:val="18"/>
    </w:rPr>
  </w:style>
  <w:style w:type="character" w:customStyle="1" w:styleId="192">
    <w:name w:val="正文文本 (2) + 间距 4 pt"/>
    <w:qFormat/>
    <w:uiPriority w:val="0"/>
    <w:rPr>
      <w:rFonts w:ascii="宋体" w:hAnsi="宋体" w:eastAsia="宋体" w:cs="宋体"/>
      <w:color w:val="000000"/>
      <w:spacing w:val="80"/>
      <w:w w:val="100"/>
      <w:position w:val="0"/>
      <w:sz w:val="22"/>
      <w:szCs w:val="22"/>
      <w:u w:val="none"/>
      <w:shd w:val="clear" w:color="auto" w:fill="FFFFFF"/>
      <w:lang w:val="zh-TW" w:eastAsia="zh-TW" w:bidi="zh-TW"/>
    </w:rPr>
  </w:style>
  <w:style w:type="character" w:customStyle="1" w:styleId="193">
    <w:name w:val="页脚 字符"/>
    <w:qFormat/>
    <w:uiPriority w:val="99"/>
    <w:rPr>
      <w:kern w:val="2"/>
      <w:sz w:val="18"/>
      <w:szCs w:val="18"/>
    </w:rPr>
  </w:style>
  <w:style w:type="character" w:customStyle="1" w:styleId="194">
    <w:name w:val="脚注文本 字符"/>
    <w:qFormat/>
    <w:uiPriority w:val="0"/>
    <w:rPr>
      <w:kern w:val="2"/>
      <w:sz w:val="18"/>
      <w:szCs w:val="18"/>
    </w:rPr>
  </w:style>
  <w:style w:type="paragraph" w:customStyle="1" w:styleId="195">
    <w:name w:val="Table Paragraph"/>
    <w:basedOn w:val="1"/>
    <w:qFormat/>
    <w:uiPriority w:val="99"/>
    <w:pPr>
      <w:autoSpaceDE w:val="0"/>
      <w:autoSpaceDN w:val="0"/>
      <w:jc w:val="left"/>
    </w:pPr>
    <w:rPr>
      <w:rFonts w:ascii="宋体" w:hAnsi="宋体" w:cs="宋体"/>
      <w:kern w:val="0"/>
      <w:sz w:val="22"/>
      <w:lang w:val="zh-CN" w:bidi="zh-CN"/>
    </w:rPr>
  </w:style>
  <w:style w:type="paragraph" w:customStyle="1" w:styleId="196">
    <w:name w:val="修订1"/>
    <w:hidden/>
    <w:qFormat/>
    <w:uiPriority w:val="99"/>
    <w:rPr>
      <w:rFonts w:ascii="Calibri" w:hAnsi="Calibri" w:eastAsia="宋体" w:cs="Times New Roman"/>
      <w:kern w:val="2"/>
      <w:sz w:val="21"/>
      <w:szCs w:val="22"/>
      <w:lang w:val="en-US" w:eastAsia="zh-CN" w:bidi="ar-SA"/>
    </w:rPr>
  </w:style>
  <w:style w:type="paragraph" w:customStyle="1" w:styleId="197">
    <w:name w:val="三级"/>
    <w:basedOn w:val="4"/>
    <w:link w:val="198"/>
    <w:qFormat/>
    <w:uiPriority w:val="0"/>
    <w:pPr>
      <w:keepNext w:val="0"/>
      <w:keepLines w:val="0"/>
      <w:spacing w:before="120" w:after="120" w:line="415" w:lineRule="auto"/>
      <w:ind w:firstLine="241" w:firstLineChars="100"/>
      <w:jc w:val="center"/>
    </w:pPr>
    <w:rPr>
      <w:rFonts w:ascii="黑体" w:hAnsi="黑体" w:eastAsia="黑体"/>
      <w:b w:val="0"/>
    </w:rPr>
  </w:style>
  <w:style w:type="character" w:customStyle="1" w:styleId="198">
    <w:name w:val="三级 Char"/>
    <w:basedOn w:val="73"/>
    <w:link w:val="197"/>
    <w:qFormat/>
    <w:uiPriority w:val="0"/>
    <w:rPr>
      <w:rFonts w:ascii="黑体" w:hAnsi="黑体" w:eastAsia="黑体"/>
      <w:b w:val="0"/>
      <w:sz w:val="32"/>
      <w:szCs w:val="32"/>
    </w:rPr>
  </w:style>
  <w:style w:type="paragraph" w:customStyle="1" w:styleId="199">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00">
    <w:name w:val="xl3192"/>
    <w:basedOn w:val="1"/>
    <w:qFormat/>
    <w:uiPriority w:val="0"/>
    <w:pPr>
      <w:widowControl/>
      <w:spacing w:before="100" w:beforeAutospacing="1" w:after="100" w:afterAutospacing="1"/>
      <w:jc w:val="left"/>
    </w:pPr>
    <w:rPr>
      <w:rFonts w:ascii="黑体" w:hAnsi="黑体" w:eastAsia="黑体" w:cs="宋体"/>
      <w:b/>
      <w:bCs/>
      <w:kern w:val="0"/>
      <w:sz w:val="28"/>
      <w:szCs w:val="28"/>
    </w:rPr>
  </w:style>
  <w:style w:type="paragraph" w:customStyle="1" w:styleId="201">
    <w:name w:val="xl3193"/>
    <w:basedOn w:val="1"/>
    <w:qFormat/>
    <w:uiPriority w:val="0"/>
    <w:pPr>
      <w:widowControl/>
      <w:spacing w:before="100" w:beforeAutospacing="1" w:after="100" w:afterAutospacing="1"/>
      <w:jc w:val="center"/>
    </w:pPr>
    <w:rPr>
      <w:rFonts w:ascii="黑体" w:hAnsi="黑体" w:eastAsia="黑体" w:cs="宋体"/>
      <w:b/>
      <w:bCs/>
      <w:kern w:val="0"/>
      <w:sz w:val="28"/>
      <w:szCs w:val="28"/>
    </w:rPr>
  </w:style>
  <w:style w:type="paragraph" w:customStyle="1" w:styleId="202">
    <w:name w:val="xl3194"/>
    <w:basedOn w:val="1"/>
    <w:qFormat/>
    <w:uiPriority w:val="0"/>
    <w:pPr>
      <w:widowControl/>
      <w:spacing w:before="100" w:beforeAutospacing="1" w:after="100" w:afterAutospacing="1"/>
      <w:jc w:val="right"/>
    </w:pPr>
    <w:rPr>
      <w:rFonts w:ascii="黑体" w:hAnsi="黑体" w:eastAsia="黑体" w:cs="宋体"/>
      <w:b/>
      <w:bCs/>
      <w:kern w:val="0"/>
      <w:sz w:val="28"/>
      <w:szCs w:val="28"/>
    </w:rPr>
  </w:style>
  <w:style w:type="paragraph" w:customStyle="1" w:styleId="203">
    <w:name w:val="xl3195"/>
    <w:basedOn w:val="1"/>
    <w:qFormat/>
    <w:uiPriority w:val="0"/>
    <w:pPr>
      <w:widowControl/>
      <w:spacing w:before="100" w:beforeAutospacing="1" w:after="100" w:afterAutospacing="1"/>
      <w:ind w:firstLine="1200" w:firstLineChars="1200"/>
      <w:jc w:val="left"/>
    </w:pPr>
    <w:rPr>
      <w:rFonts w:ascii="黑体" w:hAnsi="黑体" w:eastAsia="黑体" w:cs="宋体"/>
      <w:b/>
      <w:bCs/>
      <w:kern w:val="0"/>
      <w:sz w:val="28"/>
      <w:szCs w:val="28"/>
    </w:rPr>
  </w:style>
  <w:style w:type="paragraph" w:customStyle="1" w:styleId="204">
    <w:name w:val="xl3196"/>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05">
    <w:name w:val="xl31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06">
    <w:name w:val="xl3198"/>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207">
    <w:name w:val="xl31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08">
    <w:name w:val="xl32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0"/>
      <w:szCs w:val="20"/>
    </w:rPr>
  </w:style>
  <w:style w:type="paragraph" w:customStyle="1" w:styleId="209">
    <w:name w:val="xl32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10">
    <w:name w:val="xl32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11">
    <w:name w:val="xl320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12">
    <w:name w:val="xl3204"/>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13">
    <w:name w:val="xl3205"/>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0"/>
      <w:szCs w:val="20"/>
    </w:rPr>
  </w:style>
  <w:style w:type="paragraph" w:customStyle="1" w:styleId="214">
    <w:name w:val="xl32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color w:val="000000"/>
      <w:kern w:val="0"/>
      <w:sz w:val="20"/>
      <w:szCs w:val="20"/>
    </w:rPr>
  </w:style>
  <w:style w:type="paragraph" w:customStyle="1" w:styleId="215">
    <w:name w:val="xl32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color w:val="000000"/>
      <w:kern w:val="0"/>
      <w:sz w:val="20"/>
      <w:szCs w:val="20"/>
    </w:rPr>
  </w:style>
  <w:style w:type="paragraph" w:customStyle="1" w:styleId="216">
    <w:name w:val="xl32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0"/>
      <w:szCs w:val="20"/>
    </w:rPr>
  </w:style>
  <w:style w:type="paragraph" w:customStyle="1" w:styleId="217">
    <w:name w:val="xl3209"/>
    <w:basedOn w:val="1"/>
    <w:qFormat/>
    <w:uiPriority w:val="0"/>
    <w:pPr>
      <w:widowControl/>
      <w:spacing w:before="100" w:beforeAutospacing="1" w:after="100" w:afterAutospacing="1"/>
      <w:jc w:val="center"/>
    </w:pPr>
    <w:rPr>
      <w:rFonts w:ascii="宋体" w:hAnsi="宋体" w:cs="宋体"/>
      <w:kern w:val="0"/>
      <w:sz w:val="20"/>
      <w:szCs w:val="20"/>
    </w:rPr>
  </w:style>
  <w:style w:type="paragraph" w:customStyle="1" w:styleId="218">
    <w:name w:val="xl3210"/>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19">
    <w:name w:val="xl3211"/>
    <w:basedOn w:val="1"/>
    <w:qFormat/>
    <w:uiPriority w:val="0"/>
    <w:pPr>
      <w:widowControl/>
      <w:spacing w:before="100" w:beforeAutospacing="1" w:after="100" w:afterAutospacing="1"/>
      <w:jc w:val="right"/>
    </w:pPr>
    <w:rPr>
      <w:rFonts w:ascii="宋体" w:hAnsi="宋体" w:cs="宋体"/>
      <w:kern w:val="0"/>
      <w:sz w:val="20"/>
      <w:szCs w:val="20"/>
    </w:rPr>
  </w:style>
  <w:style w:type="paragraph" w:customStyle="1" w:styleId="220">
    <w:name w:val="xl3212"/>
    <w:basedOn w:val="1"/>
    <w:qFormat/>
    <w:uiPriority w:val="0"/>
    <w:pPr>
      <w:widowControl/>
      <w:pBdr>
        <w:top w:val="single" w:color="auto" w:sz="4" w:space="0"/>
        <w:left w:val="single" w:color="auto" w:sz="4" w:space="0"/>
        <w:bottom w:val="single" w:color="auto" w:sz="4" w:space="0"/>
        <w:right w:val="single" w:color="auto" w:sz="4" w:space="0"/>
      </w:pBdr>
      <w:shd w:val="clear" w:color="000000" w:fill="F2F2F2"/>
      <w:spacing w:before="100" w:beforeAutospacing="1" w:after="100" w:afterAutospacing="1"/>
      <w:jc w:val="center"/>
    </w:pPr>
    <w:rPr>
      <w:rFonts w:ascii="宋体" w:hAnsi="宋体" w:cs="宋体"/>
      <w:kern w:val="0"/>
      <w:sz w:val="20"/>
      <w:szCs w:val="20"/>
    </w:rPr>
  </w:style>
  <w:style w:type="paragraph" w:customStyle="1" w:styleId="221">
    <w:name w:val="xl3213"/>
    <w:basedOn w:val="1"/>
    <w:qFormat/>
    <w:uiPriority w:val="0"/>
    <w:pPr>
      <w:widowControl/>
      <w:pBdr>
        <w:top w:val="single" w:color="auto" w:sz="4" w:space="0"/>
        <w:left w:val="single" w:color="auto" w:sz="4" w:space="0"/>
        <w:bottom w:val="single" w:color="auto" w:sz="4" w:space="0"/>
        <w:right w:val="single" w:color="auto" w:sz="4" w:space="0"/>
      </w:pBdr>
      <w:shd w:val="clear" w:color="000000" w:fill="F2F2F2"/>
      <w:spacing w:before="100" w:beforeAutospacing="1" w:after="100" w:afterAutospacing="1"/>
      <w:jc w:val="right"/>
    </w:pPr>
    <w:rPr>
      <w:rFonts w:ascii="宋体" w:hAnsi="宋体" w:cs="宋体"/>
      <w:kern w:val="0"/>
      <w:sz w:val="20"/>
      <w:szCs w:val="20"/>
    </w:rPr>
  </w:style>
  <w:style w:type="paragraph" w:customStyle="1" w:styleId="222">
    <w:name w:val="xl3214"/>
    <w:basedOn w:val="1"/>
    <w:qFormat/>
    <w:uiPriority w:val="0"/>
    <w:pPr>
      <w:widowControl/>
      <w:pBdr>
        <w:bottom w:val="single" w:color="auto" w:sz="4" w:space="0"/>
      </w:pBdr>
      <w:spacing w:before="100" w:beforeAutospacing="1" w:after="100" w:afterAutospacing="1"/>
      <w:jc w:val="left"/>
    </w:pPr>
    <w:rPr>
      <w:rFonts w:ascii="宋体" w:hAnsi="宋体" w:cs="宋体"/>
      <w:kern w:val="0"/>
      <w:sz w:val="20"/>
      <w:szCs w:val="20"/>
    </w:rPr>
  </w:style>
  <w:style w:type="paragraph" w:customStyle="1" w:styleId="223">
    <w:name w:val="xl321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224">
    <w:name w:val="xl3216"/>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225">
    <w:name w:val="xl321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26">
    <w:name w:val="xl3218"/>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宋体" w:hAnsi="宋体" w:cs="宋体"/>
      <w:kern w:val="0"/>
      <w:sz w:val="20"/>
      <w:szCs w:val="20"/>
    </w:rPr>
  </w:style>
  <w:style w:type="paragraph" w:customStyle="1" w:styleId="227">
    <w:name w:val="xl3219"/>
    <w:basedOn w:val="1"/>
    <w:qFormat/>
    <w:uiPriority w:val="0"/>
    <w:pPr>
      <w:widowControl/>
      <w:pBdr>
        <w:top w:val="single" w:color="auto" w:sz="4" w:space="0"/>
        <w:bottom w:val="single" w:color="auto" w:sz="4" w:space="0"/>
      </w:pBdr>
      <w:spacing w:before="100" w:beforeAutospacing="1" w:after="100" w:afterAutospacing="1"/>
      <w:jc w:val="right"/>
    </w:pPr>
    <w:rPr>
      <w:rFonts w:ascii="宋体" w:hAnsi="宋体" w:cs="宋体"/>
      <w:kern w:val="0"/>
      <w:sz w:val="20"/>
      <w:szCs w:val="20"/>
    </w:rPr>
  </w:style>
  <w:style w:type="paragraph" w:customStyle="1" w:styleId="228">
    <w:name w:val="xl3220"/>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kern w:val="0"/>
      <w:sz w:val="20"/>
      <w:szCs w:val="20"/>
    </w:rPr>
  </w:style>
  <w:style w:type="paragraph" w:customStyle="1" w:styleId="229">
    <w:name w:val="xl3221"/>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30">
    <w:name w:val="xl32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0"/>
      <w:szCs w:val="20"/>
    </w:rPr>
  </w:style>
  <w:style w:type="paragraph" w:customStyle="1" w:styleId="231">
    <w:name w:val="xl32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32">
    <w:name w:val="xl32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color w:val="000000"/>
      <w:kern w:val="0"/>
      <w:sz w:val="20"/>
      <w:szCs w:val="20"/>
    </w:rPr>
  </w:style>
  <w:style w:type="paragraph" w:customStyle="1" w:styleId="233">
    <w:name w:val="xl32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34">
    <w:name w:val="xl32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35">
    <w:name w:val="xl3227"/>
    <w:basedOn w:val="1"/>
    <w:qFormat/>
    <w:uiPriority w:val="0"/>
    <w:pPr>
      <w:widowControl/>
      <w:pBdr>
        <w:top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0"/>
      <w:szCs w:val="20"/>
    </w:rPr>
  </w:style>
  <w:style w:type="paragraph" w:customStyle="1" w:styleId="236">
    <w:name w:val="xl3228"/>
    <w:basedOn w:val="1"/>
    <w:qFormat/>
    <w:uiPriority w:val="0"/>
    <w:pPr>
      <w:widowControl/>
      <w:pBdr>
        <w:top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0"/>
      <w:szCs w:val="20"/>
    </w:rPr>
  </w:style>
  <w:style w:type="paragraph" w:customStyle="1" w:styleId="237">
    <w:name w:val="xl32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38">
    <w:name w:val="xl323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239">
    <w:name w:val="xl32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40">
    <w:name w:val="正文_2"/>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241">
    <w:name w:val="网格型1"/>
    <w:basedOn w:val="57"/>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2">
    <w:name w:val="网格型2"/>
    <w:basedOn w:val="57"/>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43">
    <w:name w:val="正文文本 3 字符"/>
    <w:basedOn w:val="59"/>
    <w:link w:val="19"/>
    <w:qFormat/>
    <w:uiPriority w:val="0"/>
    <w:rPr>
      <w:rFonts w:ascii="宋体"/>
      <w:kern w:val="2"/>
      <w:sz w:val="24"/>
    </w:rPr>
  </w:style>
  <w:style w:type="character" w:customStyle="1" w:styleId="244">
    <w:name w:val="正文文本缩进 字符"/>
    <w:basedOn w:val="59"/>
    <w:link w:val="21"/>
    <w:qFormat/>
    <w:uiPriority w:val="0"/>
    <w:rPr>
      <w:kern w:val="2"/>
      <w:sz w:val="28"/>
      <w:szCs w:val="24"/>
    </w:rPr>
  </w:style>
  <w:style w:type="character" w:customStyle="1" w:styleId="245">
    <w:name w:val="正文文本首行缩进 2 字符"/>
    <w:basedOn w:val="244"/>
    <w:link w:val="56"/>
    <w:qFormat/>
    <w:uiPriority w:val="0"/>
    <w:rPr>
      <w:kern w:val="2"/>
      <w:sz w:val="21"/>
      <w:szCs w:val="24"/>
    </w:rPr>
  </w:style>
  <w:style w:type="table" w:customStyle="1" w:styleId="246">
    <w:name w:val="网格型3"/>
    <w:basedOn w:val="57"/>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47">
    <w:name w:val="标题 7 字符"/>
    <w:link w:val="8"/>
    <w:qFormat/>
    <w:uiPriority w:val="0"/>
    <w:rPr>
      <w:bCs/>
      <w:sz w:val="24"/>
      <w:szCs w:val="24"/>
    </w:rPr>
  </w:style>
  <w:style w:type="character" w:customStyle="1" w:styleId="248">
    <w:name w:val="标题 8 字符"/>
    <w:link w:val="9"/>
    <w:qFormat/>
    <w:uiPriority w:val="0"/>
    <w:rPr>
      <w:rFonts w:ascii="Arial" w:hAnsi="Arial" w:eastAsia="黑体"/>
      <w:b/>
      <w:sz w:val="24"/>
      <w:szCs w:val="24"/>
    </w:rPr>
  </w:style>
  <w:style w:type="character" w:customStyle="1" w:styleId="249">
    <w:name w:val="标题 9 字符"/>
    <w:link w:val="10"/>
    <w:qFormat/>
    <w:uiPriority w:val="0"/>
    <w:rPr>
      <w:rFonts w:ascii="Arial" w:hAnsi="Arial" w:eastAsia="黑体"/>
      <w:b/>
      <w:sz w:val="21"/>
      <w:szCs w:val="21"/>
    </w:rPr>
  </w:style>
  <w:style w:type="character" w:customStyle="1" w:styleId="250">
    <w:name w:val="日期 字符"/>
    <w:link w:val="29"/>
    <w:qFormat/>
    <w:uiPriority w:val="0"/>
    <w:rPr>
      <w:kern w:val="2"/>
      <w:sz w:val="21"/>
      <w:szCs w:val="24"/>
    </w:rPr>
  </w:style>
  <w:style w:type="paragraph" w:customStyle="1" w:styleId="251">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character" w:customStyle="1" w:styleId="252">
    <w:name w:val="批注文字 字符"/>
    <w:link w:val="18"/>
    <w:qFormat/>
    <w:uiPriority w:val="0"/>
    <w:rPr>
      <w:rFonts w:ascii="Calibri" w:hAnsi="Calibri"/>
      <w:kern w:val="2"/>
      <w:sz w:val="21"/>
      <w:szCs w:val="22"/>
    </w:rPr>
  </w:style>
  <w:style w:type="character" w:customStyle="1" w:styleId="253">
    <w:name w:val="标题 字符"/>
    <w:link w:val="53"/>
    <w:qFormat/>
    <w:uiPriority w:val="0"/>
    <w:rPr>
      <w:rFonts w:ascii="Arial" w:hAnsi="Arial" w:cs="Arial"/>
      <w:b/>
      <w:bCs/>
      <w:sz w:val="44"/>
      <w:szCs w:val="32"/>
    </w:rPr>
  </w:style>
  <w:style w:type="character" w:customStyle="1" w:styleId="254">
    <w:name w:val="正文文本缩进 3 字符"/>
    <w:link w:val="44"/>
    <w:qFormat/>
    <w:uiPriority w:val="0"/>
    <w:rPr>
      <w:kern w:val="2"/>
      <w:sz w:val="21"/>
      <w:szCs w:val="24"/>
    </w:rPr>
  </w:style>
  <w:style w:type="paragraph" w:customStyle="1" w:styleId="255">
    <w:name w:val="1"/>
    <w:basedOn w:val="1"/>
    <w:qFormat/>
    <w:uiPriority w:val="0"/>
    <w:rPr>
      <w:rFonts w:ascii="Times New Roman" w:hAnsi="Times New Roman"/>
      <w:szCs w:val="24"/>
    </w:rPr>
  </w:style>
  <w:style w:type="character" w:customStyle="1" w:styleId="256">
    <w:name w:val="font161"/>
    <w:qFormat/>
    <w:uiPriority w:val="0"/>
    <w:rPr>
      <w:b/>
      <w:bCs/>
      <w:sz w:val="32"/>
      <w:szCs w:val="32"/>
    </w:rPr>
  </w:style>
  <w:style w:type="paragraph" w:customStyle="1" w:styleId="257">
    <w:name w:val="6'"/>
    <w:basedOn w:val="1"/>
    <w:qFormat/>
    <w:uiPriority w:val="0"/>
    <w:pPr>
      <w:autoSpaceDE w:val="0"/>
      <w:autoSpaceDN w:val="0"/>
      <w:adjustRightInd w:val="0"/>
      <w:snapToGrid w:val="0"/>
      <w:spacing w:line="320" w:lineRule="exact"/>
      <w:jc w:val="center"/>
      <w:textAlignment w:val="baseline"/>
    </w:pPr>
    <w:rPr>
      <w:rFonts w:ascii="Times New Roman" w:hAnsi="Times New Roman"/>
      <w:spacing w:val="20"/>
      <w:kern w:val="28"/>
      <w:szCs w:val="20"/>
    </w:rPr>
  </w:style>
  <w:style w:type="paragraph" w:customStyle="1" w:styleId="258">
    <w:name w:val="表格"/>
    <w:basedOn w:val="1"/>
    <w:qFormat/>
    <w:uiPriority w:val="0"/>
    <w:pPr>
      <w:jc w:val="center"/>
      <w:textAlignment w:val="center"/>
    </w:pPr>
    <w:rPr>
      <w:rFonts w:ascii="华文细黑" w:hAnsi="华文细黑"/>
      <w:kern w:val="0"/>
      <w:szCs w:val="20"/>
    </w:rPr>
  </w:style>
  <w:style w:type="paragraph" w:customStyle="1" w:styleId="259">
    <w:name w:val="表格文字"/>
    <w:basedOn w:val="1"/>
    <w:qFormat/>
    <w:uiPriority w:val="0"/>
    <w:pPr>
      <w:adjustRightInd w:val="0"/>
      <w:spacing w:line="420" w:lineRule="atLeast"/>
      <w:jc w:val="left"/>
      <w:textAlignment w:val="baseline"/>
    </w:pPr>
    <w:rPr>
      <w:rFonts w:ascii="Times New Roman" w:hAnsi="Times New Roman"/>
      <w:kern w:val="0"/>
      <w:szCs w:val="20"/>
    </w:rPr>
  </w:style>
  <w:style w:type="character" w:customStyle="1" w:styleId="260">
    <w:name w:val="文档结构图 字符"/>
    <w:link w:val="16"/>
    <w:qFormat/>
    <w:uiPriority w:val="0"/>
    <w:rPr>
      <w:rFonts w:ascii="Calibri" w:hAnsi="Calibri"/>
      <w:kern w:val="2"/>
      <w:sz w:val="21"/>
      <w:szCs w:val="22"/>
      <w:shd w:val="clear" w:color="auto" w:fill="000080"/>
    </w:rPr>
  </w:style>
  <w:style w:type="character" w:customStyle="1" w:styleId="261">
    <w:name w:val="正文文本缩进 2 字符"/>
    <w:link w:val="30"/>
    <w:qFormat/>
    <w:uiPriority w:val="0"/>
    <w:rPr>
      <w:kern w:val="2"/>
      <w:sz w:val="21"/>
      <w:szCs w:val="24"/>
    </w:rPr>
  </w:style>
  <w:style w:type="character" w:customStyle="1" w:styleId="262">
    <w:name w:val="正文文本 2 字符"/>
    <w:link w:val="47"/>
    <w:qFormat/>
    <w:uiPriority w:val="0"/>
    <w:rPr>
      <w:kern w:val="2"/>
      <w:sz w:val="21"/>
      <w:szCs w:val="24"/>
    </w:rPr>
  </w:style>
  <w:style w:type="paragraph" w:customStyle="1" w:styleId="263">
    <w:name w:val="表格文字居中"/>
    <w:basedOn w:val="1"/>
    <w:next w:val="1"/>
    <w:qFormat/>
    <w:uiPriority w:val="0"/>
    <w:pPr>
      <w:tabs>
        <w:tab w:val="left" w:pos="720"/>
        <w:tab w:val="left" w:pos="900"/>
      </w:tabs>
      <w:adjustRightInd w:val="0"/>
      <w:snapToGrid w:val="0"/>
      <w:spacing w:before="62" w:beforeLines="20" w:after="62" w:afterLines="20" w:line="360" w:lineRule="auto"/>
      <w:jc w:val="center"/>
    </w:pPr>
    <w:rPr>
      <w:rFonts w:ascii="宋体" w:hAnsi="Arial"/>
      <w:kern w:val="0"/>
      <w:sz w:val="18"/>
      <w:szCs w:val="20"/>
    </w:rPr>
  </w:style>
  <w:style w:type="character" w:customStyle="1" w:styleId="264">
    <w:name w:val="尾注文本 字符"/>
    <w:link w:val="31"/>
    <w:qFormat/>
    <w:uiPriority w:val="0"/>
    <w:rPr>
      <w:kern w:val="2"/>
      <w:sz w:val="21"/>
      <w:szCs w:val="24"/>
    </w:rPr>
  </w:style>
  <w:style w:type="character" w:customStyle="1" w:styleId="265">
    <w:name w:val="批注主题 字符"/>
    <w:link w:val="54"/>
    <w:qFormat/>
    <w:uiPriority w:val="0"/>
    <w:rPr>
      <w:rFonts w:ascii="Calibri" w:hAnsi="Calibri"/>
      <w:b/>
      <w:bCs/>
      <w:kern w:val="2"/>
      <w:sz w:val="21"/>
      <w:szCs w:val="22"/>
    </w:rPr>
  </w:style>
  <w:style w:type="paragraph" w:styleId="266">
    <w:name w:val="No Spacing"/>
    <w:qFormat/>
    <w:uiPriority w:val="0"/>
    <w:pPr>
      <w:widowControl w:val="0"/>
      <w:jc w:val="both"/>
    </w:pPr>
    <w:rPr>
      <w:rFonts w:ascii="Calibri" w:hAnsi="Calibri" w:eastAsia="宋体" w:cs="Times New Roman"/>
      <w:kern w:val="2"/>
      <w:sz w:val="21"/>
      <w:szCs w:val="22"/>
      <w:lang w:val="en-US" w:eastAsia="zh-CN" w:bidi="ar-SA"/>
    </w:rPr>
  </w:style>
  <w:style w:type="paragraph" w:styleId="267">
    <w:name w:val="Quote"/>
    <w:basedOn w:val="1"/>
    <w:next w:val="1"/>
    <w:link w:val="268"/>
    <w:qFormat/>
    <w:uiPriority w:val="0"/>
    <w:rPr>
      <w:i/>
      <w:iCs/>
      <w:color w:val="000000"/>
    </w:rPr>
  </w:style>
  <w:style w:type="character" w:customStyle="1" w:styleId="268">
    <w:name w:val="引用 字符"/>
    <w:basedOn w:val="59"/>
    <w:link w:val="267"/>
    <w:qFormat/>
    <w:uiPriority w:val="0"/>
    <w:rPr>
      <w:rFonts w:ascii="Calibri" w:hAnsi="Calibri"/>
      <w:i/>
      <w:iCs/>
      <w:color w:val="000000"/>
      <w:kern w:val="2"/>
      <w:sz w:val="21"/>
      <w:szCs w:val="22"/>
    </w:rPr>
  </w:style>
  <w:style w:type="paragraph" w:styleId="269">
    <w:name w:val="Intense Quote"/>
    <w:basedOn w:val="1"/>
    <w:next w:val="1"/>
    <w:link w:val="270"/>
    <w:qFormat/>
    <w:uiPriority w:val="0"/>
    <w:pPr>
      <w:pBdr>
        <w:bottom w:val="single" w:color="4F81BD" w:sz="4" w:space="4"/>
      </w:pBdr>
      <w:spacing w:before="200" w:after="280"/>
      <w:ind w:left="936" w:right="936"/>
    </w:pPr>
    <w:rPr>
      <w:b/>
      <w:bCs/>
      <w:i/>
      <w:iCs/>
      <w:color w:val="4F81BD"/>
    </w:rPr>
  </w:style>
  <w:style w:type="character" w:customStyle="1" w:styleId="270">
    <w:name w:val="明显引用 字符"/>
    <w:basedOn w:val="59"/>
    <w:link w:val="269"/>
    <w:qFormat/>
    <w:uiPriority w:val="0"/>
    <w:rPr>
      <w:rFonts w:ascii="Calibri" w:hAnsi="Calibri"/>
      <w:b/>
      <w:bCs/>
      <w:i/>
      <w:iCs/>
      <w:color w:val="4F81BD"/>
      <w:kern w:val="2"/>
      <w:sz w:val="21"/>
      <w:szCs w:val="22"/>
    </w:rPr>
  </w:style>
  <w:style w:type="paragraph" w:customStyle="1" w:styleId="271">
    <w:name w:val="flNote"/>
    <w:basedOn w:val="1"/>
    <w:qFormat/>
    <w:uiPriority w:val="0"/>
    <w:pPr>
      <w:adjustRightInd w:val="0"/>
      <w:spacing w:before="320" w:after="160" w:line="360" w:lineRule="atLeast"/>
      <w:jc w:val="center"/>
    </w:pPr>
    <w:rPr>
      <w:rFonts w:ascii="Arial" w:hAnsi="Times New Roman" w:eastAsia="黑体"/>
      <w:kern w:val="0"/>
      <w:sz w:val="30"/>
      <w:szCs w:val="20"/>
    </w:rPr>
  </w:style>
  <w:style w:type="character" w:customStyle="1" w:styleId="272">
    <w:name w:val="标题4 Char Char"/>
    <w:link w:val="273"/>
    <w:qFormat/>
    <w:locked/>
    <w:uiPriority w:val="0"/>
    <w:rPr>
      <w:rFonts w:ascii="Arial" w:hAnsi="Arial" w:cs="Arial"/>
      <w:b/>
      <w:bCs/>
      <w:sz w:val="24"/>
      <w:szCs w:val="32"/>
    </w:rPr>
  </w:style>
  <w:style w:type="paragraph" w:customStyle="1" w:styleId="273">
    <w:name w:val="标题4"/>
    <w:basedOn w:val="3"/>
    <w:next w:val="24"/>
    <w:link w:val="272"/>
    <w:qFormat/>
    <w:uiPriority w:val="0"/>
    <w:pPr>
      <w:spacing w:line="412" w:lineRule="auto"/>
    </w:pPr>
    <w:rPr>
      <w:rFonts w:ascii="Arial" w:hAnsi="Arial" w:cs="Arial"/>
      <w:sz w:val="24"/>
    </w:rPr>
  </w:style>
  <w:style w:type="character" w:customStyle="1" w:styleId="274">
    <w:name w:val="标题5 Char Char"/>
    <w:link w:val="275"/>
    <w:qFormat/>
    <w:locked/>
    <w:uiPriority w:val="0"/>
    <w:rPr>
      <w:rFonts w:ascii="Arial" w:hAnsi="Arial" w:cs="Arial"/>
      <w:b/>
      <w:bCs/>
      <w:sz w:val="24"/>
      <w:szCs w:val="32"/>
    </w:rPr>
  </w:style>
  <w:style w:type="paragraph" w:customStyle="1" w:styleId="275">
    <w:name w:val="标题5"/>
    <w:basedOn w:val="4"/>
    <w:link w:val="274"/>
    <w:qFormat/>
    <w:uiPriority w:val="0"/>
    <w:pPr>
      <w:spacing w:line="412" w:lineRule="auto"/>
    </w:pPr>
    <w:rPr>
      <w:rFonts w:ascii="Arial" w:hAnsi="Arial" w:cs="Arial"/>
      <w:sz w:val="24"/>
    </w:rPr>
  </w:style>
  <w:style w:type="paragraph" w:customStyle="1" w:styleId="276">
    <w:name w:val="空半行"/>
    <w:basedOn w:val="1"/>
    <w:qFormat/>
    <w:uiPriority w:val="0"/>
    <w:pPr>
      <w:adjustRightInd w:val="0"/>
      <w:spacing w:line="120" w:lineRule="exact"/>
    </w:pPr>
    <w:rPr>
      <w:rFonts w:ascii="Times New Roman" w:hAnsi="Times New Roman" w:eastAsia="仿宋_GB2312"/>
      <w:color w:val="FFFFFF"/>
      <w:kern w:val="0"/>
      <w:sz w:val="30"/>
      <w:szCs w:val="20"/>
    </w:rPr>
  </w:style>
  <w:style w:type="character" w:customStyle="1" w:styleId="277">
    <w:name w:val="不明显强调1"/>
    <w:qFormat/>
    <w:uiPriority w:val="0"/>
    <w:rPr>
      <w:i/>
      <w:iCs/>
      <w:color w:val="808080"/>
    </w:rPr>
  </w:style>
  <w:style w:type="character" w:customStyle="1" w:styleId="278">
    <w:name w:val="明显强调1"/>
    <w:qFormat/>
    <w:uiPriority w:val="0"/>
    <w:rPr>
      <w:b/>
      <w:bCs/>
      <w:i/>
      <w:iCs/>
      <w:color w:val="4F81BD"/>
    </w:rPr>
  </w:style>
  <w:style w:type="character" w:customStyle="1" w:styleId="279">
    <w:name w:val="不明显参考1"/>
    <w:qFormat/>
    <w:uiPriority w:val="0"/>
    <w:rPr>
      <w:smallCaps/>
      <w:color w:val="C0504D"/>
      <w:u w:val="single"/>
    </w:rPr>
  </w:style>
  <w:style w:type="character" w:customStyle="1" w:styleId="280">
    <w:name w:val="明显参考1"/>
    <w:qFormat/>
    <w:uiPriority w:val="0"/>
    <w:rPr>
      <w:b/>
      <w:bCs/>
      <w:smallCaps/>
      <w:color w:val="C0504D"/>
      <w:spacing w:val="5"/>
      <w:u w:val="single"/>
    </w:rPr>
  </w:style>
  <w:style w:type="character" w:customStyle="1" w:styleId="281">
    <w:name w:val="书籍标题1"/>
    <w:qFormat/>
    <w:uiPriority w:val="0"/>
    <w:rPr>
      <w:b/>
      <w:bCs/>
      <w:smallCaps/>
      <w:spacing w:val="5"/>
    </w:rPr>
  </w:style>
  <w:style w:type="character" w:customStyle="1" w:styleId="282">
    <w:name w:val="textcontents"/>
    <w:qFormat/>
    <w:uiPriority w:val="0"/>
    <w:rPr>
      <w:rFonts w:hint="default" w:ascii="Times New Roman" w:hAnsi="Times New Roman" w:cs="Times New Roman"/>
    </w:rPr>
  </w:style>
  <w:style w:type="character" w:customStyle="1" w:styleId="283">
    <w:name w:val="日期 Char1"/>
    <w:qFormat/>
    <w:uiPriority w:val="0"/>
    <w:rPr>
      <w:kern w:val="2"/>
      <w:sz w:val="21"/>
      <w:szCs w:val="22"/>
    </w:rPr>
  </w:style>
  <w:style w:type="character" w:customStyle="1" w:styleId="284">
    <w:name w:val="正文文本 Char1"/>
    <w:qFormat/>
    <w:uiPriority w:val="0"/>
    <w:rPr>
      <w:kern w:val="2"/>
      <w:sz w:val="21"/>
      <w:szCs w:val="22"/>
    </w:rPr>
  </w:style>
  <w:style w:type="character" w:customStyle="1" w:styleId="285">
    <w:name w:val="批注主题 Char1"/>
    <w:qFormat/>
    <w:uiPriority w:val="0"/>
    <w:rPr>
      <w:b/>
      <w:bCs/>
      <w:kern w:val="2"/>
      <w:sz w:val="21"/>
      <w:szCs w:val="22"/>
    </w:rPr>
  </w:style>
  <w:style w:type="character" w:customStyle="1" w:styleId="286">
    <w:name w:val="批注文字 Char Char"/>
    <w:qFormat/>
    <w:uiPriority w:val="0"/>
    <w:rPr>
      <w:rFonts w:hint="eastAsia" w:ascii="宋体" w:hAnsi="Times New Roman" w:eastAsia="宋体" w:cs="Times New Roman"/>
      <w:sz w:val="28"/>
      <w:szCs w:val="20"/>
    </w:rPr>
  </w:style>
  <w:style w:type="character" w:customStyle="1" w:styleId="287">
    <w:name w:val="批注框文本 Char1"/>
    <w:qFormat/>
    <w:uiPriority w:val="0"/>
    <w:rPr>
      <w:kern w:val="2"/>
      <w:sz w:val="18"/>
      <w:szCs w:val="18"/>
    </w:rPr>
  </w:style>
  <w:style w:type="character" w:customStyle="1" w:styleId="288">
    <w:name w:val="文档结构图 Char1"/>
    <w:qFormat/>
    <w:uiPriority w:val="0"/>
    <w:rPr>
      <w:rFonts w:hint="eastAsia" w:ascii="宋体" w:hAnsi="宋体" w:eastAsia="宋体"/>
      <w:kern w:val="2"/>
      <w:sz w:val="18"/>
      <w:szCs w:val="18"/>
    </w:rPr>
  </w:style>
  <w:style w:type="character" w:customStyle="1" w:styleId="289">
    <w:name w:val="批注文字 Char1"/>
    <w:qFormat/>
    <w:uiPriority w:val="0"/>
    <w:rPr>
      <w:kern w:val="2"/>
      <w:sz w:val="21"/>
      <w:szCs w:val="22"/>
    </w:rPr>
  </w:style>
  <w:style w:type="character" w:customStyle="1" w:styleId="290">
    <w:name w:val="副标题 Char1"/>
    <w:qFormat/>
    <w:uiPriority w:val="0"/>
    <w:rPr>
      <w:rFonts w:hint="default" w:ascii="Cambria" w:hAnsi="Cambria" w:cs="Times New Roman"/>
      <w:b/>
      <w:bCs/>
      <w:kern w:val="28"/>
      <w:sz w:val="32"/>
      <w:szCs w:val="32"/>
    </w:rPr>
  </w:style>
  <w:style w:type="character" w:customStyle="1" w:styleId="291">
    <w:name w:val="标题 Char1"/>
    <w:qFormat/>
    <w:uiPriority w:val="0"/>
    <w:rPr>
      <w:rFonts w:hint="default" w:ascii="Cambria" w:hAnsi="Cambria" w:cs="Times New Roman"/>
      <w:b/>
      <w:bCs/>
      <w:kern w:val="2"/>
      <w:sz w:val="32"/>
      <w:szCs w:val="32"/>
    </w:rPr>
  </w:style>
  <w:style w:type="character" w:customStyle="1" w:styleId="292">
    <w:name w:val="明显引用 Char1"/>
    <w:qFormat/>
    <w:uiPriority w:val="30"/>
    <w:rPr>
      <w:b/>
      <w:bCs/>
      <w:i/>
      <w:iCs/>
      <w:color w:val="4F81BD"/>
      <w:kern w:val="2"/>
      <w:sz w:val="21"/>
      <w:szCs w:val="22"/>
    </w:rPr>
  </w:style>
  <w:style w:type="character" w:customStyle="1" w:styleId="293">
    <w:name w:val="页眉 Char1"/>
    <w:semiHidden/>
    <w:qFormat/>
    <w:uiPriority w:val="99"/>
    <w:rPr>
      <w:kern w:val="2"/>
      <w:sz w:val="18"/>
      <w:szCs w:val="18"/>
    </w:rPr>
  </w:style>
  <w:style w:type="character" w:customStyle="1" w:styleId="294">
    <w:name w:val="文档结构图 Char2"/>
    <w:qFormat/>
    <w:uiPriority w:val="0"/>
    <w:rPr>
      <w:rFonts w:hint="eastAsia" w:ascii="宋体" w:hAnsi="宋体" w:eastAsia="宋体"/>
      <w:kern w:val="2"/>
      <w:sz w:val="18"/>
      <w:szCs w:val="18"/>
    </w:rPr>
  </w:style>
  <w:style w:type="character" w:customStyle="1" w:styleId="295">
    <w:name w:val="正文文本 Char2"/>
    <w:qFormat/>
    <w:uiPriority w:val="0"/>
    <w:rPr>
      <w:kern w:val="2"/>
      <w:sz w:val="21"/>
      <w:szCs w:val="22"/>
    </w:rPr>
  </w:style>
  <w:style w:type="character" w:customStyle="1" w:styleId="296">
    <w:name w:val="引用 Char1"/>
    <w:qFormat/>
    <w:uiPriority w:val="29"/>
    <w:rPr>
      <w:i/>
      <w:iCs/>
      <w:color w:val="000000"/>
      <w:kern w:val="2"/>
      <w:sz w:val="21"/>
      <w:szCs w:val="22"/>
    </w:rPr>
  </w:style>
  <w:style w:type="character" w:customStyle="1" w:styleId="297">
    <w:name w:val="页脚 Char1"/>
    <w:semiHidden/>
    <w:qFormat/>
    <w:uiPriority w:val="99"/>
    <w:rPr>
      <w:kern w:val="2"/>
      <w:sz w:val="18"/>
      <w:szCs w:val="18"/>
    </w:rPr>
  </w:style>
  <w:style w:type="character" w:customStyle="1" w:styleId="298">
    <w:name w:val="批注主题 Char2"/>
    <w:qFormat/>
    <w:uiPriority w:val="0"/>
    <w:rPr>
      <w:b/>
      <w:bCs/>
      <w:kern w:val="2"/>
      <w:sz w:val="21"/>
      <w:szCs w:val="22"/>
    </w:rPr>
  </w:style>
  <w:style w:type="character" w:customStyle="1" w:styleId="299">
    <w:name w:val="日期 Char2"/>
    <w:qFormat/>
    <w:uiPriority w:val="0"/>
    <w:rPr>
      <w:kern w:val="2"/>
      <w:sz w:val="21"/>
      <w:szCs w:val="22"/>
    </w:rPr>
  </w:style>
  <w:style w:type="character" w:customStyle="1" w:styleId="300">
    <w:name w:val="批注框文本 Char2"/>
    <w:qFormat/>
    <w:uiPriority w:val="0"/>
    <w:rPr>
      <w:kern w:val="2"/>
      <w:sz w:val="18"/>
      <w:szCs w:val="18"/>
    </w:rPr>
  </w:style>
  <w:style w:type="paragraph" w:customStyle="1" w:styleId="301">
    <w:name w:val="Char Char1"/>
    <w:basedOn w:val="1"/>
    <w:qFormat/>
    <w:uiPriority w:val="0"/>
    <w:rPr>
      <w:rFonts w:ascii="Tahoma" w:hAnsi="Tahoma"/>
      <w:sz w:val="24"/>
      <w:szCs w:val="20"/>
    </w:rPr>
  </w:style>
  <w:style w:type="paragraph" w:customStyle="1" w:styleId="302">
    <w:name w:val="样式 标题 1 + 居中"/>
    <w:basedOn w:val="2"/>
    <w:qFormat/>
    <w:uiPriority w:val="0"/>
    <w:pPr>
      <w:spacing w:line="360" w:lineRule="auto"/>
      <w:jc w:val="center"/>
    </w:pPr>
    <w:rPr>
      <w:rFonts w:ascii="Times New Roman" w:hAnsi="Times New Roman" w:cs="宋体"/>
      <w:szCs w:val="20"/>
    </w:rPr>
  </w:style>
  <w:style w:type="paragraph" w:customStyle="1" w:styleId="303">
    <w:name w:val="样式 标题 1 + 居中1"/>
    <w:basedOn w:val="2"/>
    <w:qFormat/>
    <w:uiPriority w:val="0"/>
    <w:pPr>
      <w:spacing w:line="240" w:lineRule="auto"/>
      <w:jc w:val="center"/>
    </w:pPr>
    <w:rPr>
      <w:rFonts w:ascii="Times New Roman" w:hAnsi="Times New Roman" w:cs="宋体"/>
      <w:szCs w:val="20"/>
    </w:rPr>
  </w:style>
  <w:style w:type="paragraph" w:customStyle="1" w:styleId="304">
    <w:name w:val="样式 标题 3 + 字符缩放: 99%"/>
    <w:basedOn w:val="4"/>
    <w:qFormat/>
    <w:uiPriority w:val="0"/>
    <w:pPr>
      <w:spacing w:line="240" w:lineRule="auto"/>
    </w:pPr>
    <w:rPr>
      <w:rFonts w:ascii="Times New Roman" w:hAnsi="Times New Roman"/>
      <w:w w:val="99"/>
      <w:sz w:val="24"/>
    </w:rPr>
  </w:style>
  <w:style w:type="paragraph" w:customStyle="1" w:styleId="305">
    <w:name w:val="样式 标题 2 + 字符缩放: 99%"/>
    <w:basedOn w:val="3"/>
    <w:qFormat/>
    <w:uiPriority w:val="0"/>
    <w:pPr>
      <w:spacing w:line="240" w:lineRule="auto"/>
    </w:pPr>
    <w:rPr>
      <w:rFonts w:ascii="Arial" w:hAnsi="Arial"/>
      <w:w w:val="99"/>
    </w:rPr>
  </w:style>
  <w:style w:type="paragraph" w:customStyle="1" w:styleId="306">
    <w:name w:val="样式 标题 2 + 字符缩放: 99%1"/>
    <w:basedOn w:val="3"/>
    <w:qFormat/>
    <w:uiPriority w:val="0"/>
    <w:pPr>
      <w:spacing w:line="240" w:lineRule="auto"/>
    </w:pPr>
    <w:rPr>
      <w:rFonts w:ascii="Arial" w:hAnsi="Arial"/>
      <w:w w:val="99"/>
    </w:rPr>
  </w:style>
  <w:style w:type="paragraph" w:customStyle="1" w:styleId="307">
    <w:name w:val="样式 标题 2 + 字符缩放: 105%"/>
    <w:basedOn w:val="3"/>
    <w:qFormat/>
    <w:uiPriority w:val="0"/>
    <w:pPr>
      <w:spacing w:line="240" w:lineRule="auto"/>
    </w:pPr>
    <w:rPr>
      <w:rFonts w:ascii="Arial" w:hAnsi="Arial"/>
      <w:w w:val="105"/>
    </w:rPr>
  </w:style>
  <w:style w:type="paragraph" w:customStyle="1" w:styleId="308">
    <w:name w:val="样式 标题 1 + 仿宋_GB2312"/>
    <w:basedOn w:val="2"/>
    <w:qFormat/>
    <w:uiPriority w:val="0"/>
    <w:rPr>
      <w:rFonts w:ascii="仿宋_GB2312" w:hAnsi="仿宋_GB2312" w:eastAsia="仿宋_GB2312"/>
    </w:rPr>
  </w:style>
  <w:style w:type="paragraph" w:customStyle="1" w:styleId="309">
    <w:name w:val="样式1"/>
    <w:basedOn w:val="3"/>
    <w:qFormat/>
    <w:uiPriority w:val="0"/>
    <w:pPr>
      <w:keepNext w:val="0"/>
      <w:keepLines w:val="0"/>
      <w:widowControl/>
      <w:adjustRightInd w:val="0"/>
      <w:spacing w:before="0" w:after="0" w:line="460" w:lineRule="exact"/>
      <w:jc w:val="center"/>
      <w:textAlignment w:val="baseline"/>
    </w:pPr>
    <w:rPr>
      <w:rFonts w:ascii="Times New Roman" w:hAnsi="Times New Roman"/>
      <w:sz w:val="24"/>
      <w:szCs w:val="20"/>
    </w:rPr>
  </w:style>
  <w:style w:type="paragraph" w:customStyle="1" w:styleId="310">
    <w:name w:val="样式2"/>
    <w:basedOn w:val="2"/>
    <w:qFormat/>
    <w:uiPriority w:val="0"/>
    <w:pPr>
      <w:adjustRightInd w:val="0"/>
      <w:spacing w:before="0" w:after="0" w:line="360" w:lineRule="auto"/>
      <w:jc w:val="center"/>
      <w:textAlignment w:val="baseline"/>
    </w:pPr>
    <w:rPr>
      <w:rFonts w:ascii="Times New Roman" w:hAnsi="Times New Roman"/>
      <w:sz w:val="36"/>
      <w:szCs w:val="36"/>
    </w:rPr>
  </w:style>
  <w:style w:type="character" w:customStyle="1" w:styleId="311">
    <w:name w:val="正文文本缩进 Char1"/>
    <w:basedOn w:val="59"/>
    <w:qFormat/>
    <w:uiPriority w:val="0"/>
    <w:rPr>
      <w:rFonts w:ascii="Times New Roman" w:hAnsi="Times New Roman"/>
      <w:kern w:val="2"/>
      <w:sz w:val="28"/>
      <w:szCs w:val="24"/>
    </w:rPr>
  </w:style>
  <w:style w:type="paragraph" w:customStyle="1" w:styleId="312">
    <w:name w:val="正文1"/>
    <w:qFormat/>
    <w:uiPriority w:val="0"/>
    <w:pPr>
      <w:widowControl w:val="0"/>
      <w:autoSpaceDE w:val="0"/>
      <w:autoSpaceDN w:val="0"/>
      <w:adjustRightInd w:val="0"/>
      <w:spacing w:line="0" w:lineRule="atLeast"/>
      <w:textAlignment w:val="bottom"/>
    </w:pPr>
    <w:rPr>
      <w:rFonts w:ascii="宋体" w:hAnsi="Times New Roman" w:eastAsia="宋体" w:cs="Times New Roman"/>
      <w:spacing w:val="10"/>
      <w:sz w:val="21"/>
      <w:lang w:val="en-US" w:eastAsia="zh-CN" w:bidi="ar-SA"/>
    </w:rPr>
  </w:style>
  <w:style w:type="paragraph" w:customStyle="1" w:styleId="313">
    <w:name w:val="修订2"/>
    <w:hidden/>
    <w:unhideWhenUsed/>
    <w:qFormat/>
    <w:uiPriority w:val="99"/>
    <w:rPr>
      <w:rFonts w:ascii="Calibri" w:hAnsi="Calibri" w:eastAsia="宋体" w:cs="Times New Roman"/>
      <w:kern w:val="2"/>
      <w:sz w:val="21"/>
      <w:szCs w:val="22"/>
      <w:lang w:val="en-US" w:eastAsia="zh-CN" w:bidi="ar-SA"/>
    </w:rPr>
  </w:style>
  <w:style w:type="table" w:customStyle="1" w:styleId="314">
    <w:name w:val="网格型4"/>
    <w:basedOn w:val="57"/>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15">
    <w:name w:val="Body text|1"/>
    <w:basedOn w:val="1"/>
    <w:qFormat/>
    <w:uiPriority w:val="0"/>
    <w:pPr>
      <w:spacing w:line="374" w:lineRule="auto"/>
      <w:ind w:firstLine="400"/>
    </w:pPr>
    <w:rPr>
      <w:rFonts w:ascii="宋体" w:hAnsi="宋体" w:cs="宋体"/>
      <w:sz w:val="22"/>
      <w:lang w:val="zh-TW" w:eastAsia="zh-TW" w:bidi="zh-TW"/>
    </w:rPr>
  </w:style>
  <w:style w:type="paragraph" w:customStyle="1" w:styleId="316">
    <w:name w:val="正文_0"/>
    <w:autoRedefine/>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317">
    <w:name w:val="Font Style32"/>
    <w:autoRedefine/>
    <w:qFormat/>
    <w:uiPriority w:val="0"/>
    <w:rPr>
      <w:rFonts w:ascii="宋体" w:hAnsi="Times New Roman" w:eastAsia="宋体" w:cs="宋体"/>
      <w:sz w:val="22"/>
      <w:szCs w:val="22"/>
      <w:lang w:val="en-US" w:eastAsia="zh-CN" w:bidi="ar-SA"/>
    </w:rPr>
  </w:style>
  <w:style w:type="character" w:customStyle="1" w:styleId="318">
    <w:name w:val="Unresolved Mention"/>
    <w:basedOn w:val="59"/>
    <w:semiHidden/>
    <w:unhideWhenUsed/>
    <w:qFormat/>
    <w:uiPriority w:val="99"/>
    <w:rPr>
      <w:color w:val="605E5C"/>
      <w:shd w:val="clear" w:color="auto" w:fill="E1DFDD"/>
    </w:rPr>
  </w:style>
  <w:style w:type="character" w:customStyle="1" w:styleId="319">
    <w:name w:val="MSG_EN_FONT_STYLE_NAME_TEMPLATE_ROLE_NUMBER MSG_EN_FONT_STYLE_NAME_BY_ROLE_TEXT 13 + MSG_EN_FONT_STYLE_MODIFER_SIZE 8.5"/>
    <w:qFormat/>
    <w:uiPriority w:val="99"/>
    <w:rPr>
      <w:rFonts w:ascii="@仿宋_GB2312" w:hAnsi="@仿宋_GB2312" w:eastAsia="@仿宋_GB2312" w:cs="@仿宋_GB2312"/>
      <w:color w:val="000000"/>
      <w:spacing w:val="0"/>
      <w:w w:val="100"/>
      <w:position w:val="0"/>
      <w:sz w:val="17"/>
      <w:szCs w:val="17"/>
      <w:u w:val="none"/>
      <w:shd w:val="clear" w:color="auto" w:fill="FFFFFF"/>
      <w:lang w:val="zh-CN" w:eastAsia="zh-CN" w:bidi="zh-CN"/>
    </w:rPr>
  </w:style>
  <w:style w:type="character" w:customStyle="1" w:styleId="320">
    <w:name w:val="MSG_EN_FONT_STYLE_NAME_TEMPLATE_ROLE_NUMBER MSG_EN_FONT_STYLE_NAME_BY_ROLE_TEXT 13_"/>
    <w:link w:val="321"/>
    <w:qFormat/>
    <w:uiPriority w:val="0"/>
    <w:rPr>
      <w:rFonts w:ascii="@仿宋_GB2312" w:hAnsi="@仿宋_GB2312" w:eastAsia="@仿宋_GB2312" w:cs="@仿宋_GB2312"/>
      <w:shd w:val="clear" w:color="auto" w:fill="FFFFFF"/>
    </w:rPr>
  </w:style>
  <w:style w:type="paragraph" w:customStyle="1" w:styleId="321">
    <w:name w:val="MSG_EN_FONT_STYLE_NAME_TEMPLATE_ROLE_NUMBER MSG_EN_FONT_STYLE_NAME_BY_ROLE_TEXT 131"/>
    <w:basedOn w:val="1"/>
    <w:link w:val="320"/>
    <w:qFormat/>
    <w:uiPriority w:val="0"/>
    <w:pPr>
      <w:shd w:val="clear" w:color="auto" w:fill="FFFFFF"/>
      <w:spacing w:before="340" w:after="160" w:line="398" w:lineRule="exact"/>
      <w:jc w:val="distribute"/>
    </w:pPr>
    <w:rPr>
      <w:rFonts w:ascii="@仿宋_GB2312" w:hAnsi="@仿宋_GB2312" w:eastAsia="@仿宋_GB2312" w:cs="@仿宋_GB2312"/>
      <w:kern w:val="0"/>
      <w:sz w:val="20"/>
      <w:szCs w:val="20"/>
    </w:rPr>
  </w:style>
  <w:style w:type="character" w:customStyle="1" w:styleId="322">
    <w:name w:val="MSG_EN_FONT_STYLE_NAME_TEMPLATE_ROLE_NUMBER MSG_EN_FONT_STYLE_NAME_BY_ROLE_TEXT 13 + MSG_EN_FONT_STYLE_MODIFER_SIZE 111"/>
    <w:qFormat/>
    <w:uiPriority w:val="0"/>
    <w:rPr>
      <w:rFonts w:ascii="@仿宋_GB2312" w:hAnsi="@仿宋_GB2312" w:eastAsia="@仿宋_GB2312" w:cs="@仿宋_GB2312"/>
      <w:color w:val="000000"/>
      <w:spacing w:val="0"/>
      <w:w w:val="100"/>
      <w:position w:val="0"/>
      <w:sz w:val="22"/>
      <w:szCs w:val="22"/>
      <w:u w:val="none"/>
      <w:shd w:val="clear" w:color="auto" w:fill="FFFFFF"/>
      <w:lang w:val="zh-CN" w:eastAsia="zh-CN" w:bidi="zh-CN"/>
    </w:rPr>
  </w:style>
  <w:style w:type="character" w:customStyle="1" w:styleId="323">
    <w:name w:val="纯文本 Char"/>
    <w:qFormat/>
    <w:uiPriority w:val="0"/>
    <w:rPr>
      <w:rFonts w:ascii="@仿宋_GB2312" w:hAnsi="@仿宋_GB2312" w:cs="@仿宋_GB2312"/>
      <w:kern w:val="2"/>
      <w:sz w:val="21"/>
      <w:szCs w:val="21"/>
    </w:rPr>
  </w:style>
  <w:style w:type="character" w:customStyle="1" w:styleId="324">
    <w:name w:val="正文文本 (6)_"/>
    <w:link w:val="325"/>
    <w:qFormat/>
    <w:uiPriority w:val="0"/>
    <w:rPr>
      <w:rFonts w:ascii="@仿宋_GB2312" w:hAnsi="@仿宋_GB2312" w:eastAsia="@仿宋_GB2312" w:cs="@仿宋_GB2312"/>
      <w:sz w:val="19"/>
      <w:szCs w:val="19"/>
      <w:shd w:val="clear" w:color="auto" w:fill="FFFFFF"/>
    </w:rPr>
  </w:style>
  <w:style w:type="paragraph" w:customStyle="1" w:styleId="325">
    <w:name w:val="正文文本 (6)"/>
    <w:basedOn w:val="1"/>
    <w:link w:val="324"/>
    <w:qFormat/>
    <w:uiPriority w:val="0"/>
    <w:pPr>
      <w:shd w:val="clear" w:color="auto" w:fill="FFFFFF"/>
      <w:spacing w:before="120" w:after="240" w:line="0" w:lineRule="atLeast"/>
      <w:jc w:val="center"/>
    </w:pPr>
    <w:rPr>
      <w:rFonts w:ascii="@仿宋_GB2312" w:hAnsi="@仿宋_GB2312" w:eastAsia="@仿宋_GB2312" w:cs="@仿宋_GB2312"/>
      <w:kern w:val="0"/>
      <w:sz w:val="19"/>
      <w:szCs w:val="19"/>
    </w:rPr>
  </w:style>
  <w:style w:type="paragraph" w:customStyle="1" w:styleId="326">
    <w:name w:val="msonormal"/>
    <w:basedOn w:val="1"/>
    <w:qFormat/>
    <w:uiPriority w:val="0"/>
    <w:pPr>
      <w:widowControl/>
      <w:spacing w:before="100" w:beforeAutospacing="1" w:after="100" w:afterAutospacing="1"/>
      <w:jc w:val="left"/>
    </w:pPr>
    <w:rPr>
      <w:rFonts w:ascii="宋体" w:hAnsi="宋体"/>
      <w:kern w:val="0"/>
      <w:sz w:val="24"/>
      <w:szCs w:val="24"/>
    </w:rPr>
  </w:style>
  <w:style w:type="character" w:customStyle="1" w:styleId="327">
    <w:name w:val="列出段落 Char1"/>
    <w:qFormat/>
    <w:uiPriority w:val="34"/>
    <w:rPr>
      <w:rFonts w:ascii="宋体"/>
      <w:sz w:val="21"/>
    </w:rPr>
  </w:style>
  <w:style w:type="character" w:customStyle="1" w:styleId="328">
    <w:name w:val="页脚 Char"/>
    <w:qFormat/>
    <w:uiPriority w:val="99"/>
    <w:rPr>
      <w:sz w:val="18"/>
      <w:szCs w:val="18"/>
    </w:rPr>
  </w:style>
  <w:style w:type="character" w:customStyle="1" w:styleId="329">
    <w:name w:val="页眉 Char"/>
    <w:qFormat/>
    <w:uiPriority w:val="0"/>
    <w:rPr>
      <w:sz w:val="18"/>
      <w:szCs w:val="18"/>
    </w:rPr>
  </w:style>
  <w:style w:type="character" w:customStyle="1" w:styleId="330">
    <w:name w:val="标题 1 Char"/>
    <w:qFormat/>
    <w:uiPriority w:val="9"/>
    <w:rPr>
      <w:b/>
      <w:bCs/>
      <w:kern w:val="44"/>
      <w:sz w:val="44"/>
      <w:szCs w:val="44"/>
    </w:rPr>
  </w:style>
  <w:style w:type="character" w:customStyle="1" w:styleId="331">
    <w:name w:val="标题 2 Char"/>
    <w:qFormat/>
    <w:uiPriority w:val="9"/>
    <w:rPr>
      <w:rFonts w:ascii="Cambria" w:hAnsi="Cambria" w:eastAsia="宋体" w:cs="Times New Roman"/>
      <w:b/>
      <w:bCs/>
      <w:sz w:val="32"/>
      <w:szCs w:val="32"/>
    </w:rPr>
  </w:style>
  <w:style w:type="character" w:customStyle="1" w:styleId="332">
    <w:name w:val="标题 3 Char"/>
    <w:qFormat/>
    <w:uiPriority w:val="9"/>
    <w:rPr>
      <w:b/>
      <w:bCs/>
      <w:sz w:val="32"/>
      <w:szCs w:val="32"/>
    </w:rPr>
  </w:style>
  <w:style w:type="character" w:customStyle="1" w:styleId="333">
    <w:name w:val="标题 4 Char"/>
    <w:qFormat/>
    <w:uiPriority w:val="9"/>
    <w:rPr>
      <w:rFonts w:ascii="Cambria" w:hAnsi="Cambria" w:eastAsia="黑体"/>
      <w:bCs/>
      <w:kern w:val="2"/>
      <w:sz w:val="24"/>
      <w:szCs w:val="28"/>
      <w:lang w:val="en-US" w:eastAsia="zh-CN" w:bidi="ar-SA"/>
    </w:rPr>
  </w:style>
  <w:style w:type="character" w:customStyle="1" w:styleId="334">
    <w:name w:val="标题 5 Char"/>
    <w:qFormat/>
    <w:uiPriority w:val="9"/>
    <w:rPr>
      <w:rFonts w:ascii="Calibri" w:hAnsi="Calibri" w:eastAsia="宋体"/>
      <w:bCs/>
      <w:kern w:val="2"/>
      <w:sz w:val="21"/>
      <w:szCs w:val="28"/>
      <w:lang w:val="en-US" w:eastAsia="zh-CN" w:bidi="ar-SA"/>
    </w:rPr>
  </w:style>
  <w:style w:type="character" w:customStyle="1" w:styleId="335">
    <w:name w:val="标题 6 Char"/>
    <w:qFormat/>
    <w:uiPriority w:val="9"/>
    <w:rPr>
      <w:rFonts w:ascii="Cambria" w:hAnsi="Cambria" w:eastAsia="宋体"/>
      <w:bCs/>
      <w:kern w:val="2"/>
      <w:sz w:val="21"/>
      <w:szCs w:val="24"/>
      <w:lang w:val="en-US" w:eastAsia="zh-CN" w:bidi="ar-SA"/>
    </w:rPr>
  </w:style>
  <w:style w:type="paragraph" w:customStyle="1" w:styleId="336">
    <w:name w:val="_Style 330"/>
    <w:basedOn w:val="1"/>
    <w:next w:val="165"/>
    <w:qFormat/>
    <w:uiPriority w:val="34"/>
    <w:pPr>
      <w:ind w:firstLine="420" w:firstLineChars="200"/>
    </w:pPr>
    <w:rPr>
      <w:rFonts w:ascii="Times New Roman" w:hAnsi="Times New Roman"/>
    </w:rPr>
  </w:style>
  <w:style w:type="character" w:customStyle="1" w:styleId="337">
    <w:name w:val="批注文字 Char"/>
    <w:qFormat/>
    <w:uiPriority w:val="99"/>
    <w:rPr>
      <w:kern w:val="2"/>
      <w:sz w:val="21"/>
      <w:szCs w:val="22"/>
    </w:rPr>
  </w:style>
  <w:style w:type="character" w:customStyle="1" w:styleId="338">
    <w:name w:val="批注框文本 Char"/>
    <w:semiHidden/>
    <w:qFormat/>
    <w:uiPriority w:val="99"/>
    <w:rPr>
      <w:sz w:val="18"/>
      <w:szCs w:val="18"/>
    </w:rPr>
  </w:style>
  <w:style w:type="character" w:customStyle="1" w:styleId="339">
    <w:name w:val="副标题 Char"/>
    <w:qFormat/>
    <w:uiPriority w:val="11"/>
    <w:rPr>
      <w:rFonts w:ascii="Cambria" w:hAnsi="Cambria" w:eastAsia="宋体" w:cs="Times New Roman"/>
      <w:b/>
      <w:bCs/>
      <w:kern w:val="28"/>
      <w:sz w:val="32"/>
      <w:szCs w:val="32"/>
    </w:rPr>
  </w:style>
  <w:style w:type="character" w:customStyle="1" w:styleId="340">
    <w:name w:val="脚注文本 Char"/>
    <w:qFormat/>
    <w:uiPriority w:val="0"/>
    <w:rPr>
      <w:sz w:val="18"/>
      <w:szCs w:val="18"/>
    </w:rPr>
  </w:style>
  <w:style w:type="character" w:customStyle="1" w:styleId="341">
    <w:name w:val="正文文本缩进 3 Char"/>
    <w:qFormat/>
    <w:uiPriority w:val="99"/>
    <w:rPr>
      <w:rFonts w:ascii="Times New Roman" w:hAnsi="Times New Roman"/>
      <w:kern w:val="2"/>
      <w:sz w:val="21"/>
      <w:szCs w:val="24"/>
    </w:rPr>
  </w:style>
  <w:style w:type="character" w:customStyle="1" w:styleId="342">
    <w:name w:val="HTML 预设格式 字符"/>
    <w:basedOn w:val="59"/>
    <w:link w:val="50"/>
    <w:qFormat/>
    <w:uiPriority w:val="99"/>
    <w:rPr>
      <w:rFonts w:ascii="宋体" w:hAnsi="宋体"/>
      <w:sz w:val="24"/>
      <w:szCs w:val="24"/>
    </w:rPr>
  </w:style>
  <w:style w:type="character" w:customStyle="1" w:styleId="343">
    <w:name w:val="font251"/>
    <w:qFormat/>
    <w:uiPriority w:val="0"/>
    <w:rPr>
      <w:rFonts w:hint="eastAsia" w:ascii="宋体" w:hAnsi="宋体" w:eastAsia="宋体" w:cs="宋体"/>
      <w:color w:val="26242A"/>
      <w:sz w:val="22"/>
      <w:szCs w:val="22"/>
      <w:u w:val="none"/>
    </w:rPr>
  </w:style>
  <w:style w:type="character" w:customStyle="1" w:styleId="344">
    <w:name w:val="font491"/>
    <w:qFormat/>
    <w:uiPriority w:val="0"/>
    <w:rPr>
      <w:rFonts w:hint="eastAsia" w:ascii="宋体" w:hAnsi="宋体" w:eastAsia="宋体" w:cs="宋体"/>
      <w:color w:val="151318"/>
      <w:sz w:val="22"/>
      <w:szCs w:val="22"/>
      <w:u w:val="none"/>
    </w:rPr>
  </w:style>
  <w:style w:type="character" w:customStyle="1" w:styleId="345">
    <w:name w:val="font341"/>
    <w:qFormat/>
    <w:uiPriority w:val="0"/>
    <w:rPr>
      <w:rFonts w:hint="eastAsia" w:ascii="宋体" w:hAnsi="宋体" w:eastAsia="宋体" w:cs="宋体"/>
      <w:color w:val="1A1A1C"/>
      <w:sz w:val="22"/>
      <w:szCs w:val="22"/>
      <w:u w:val="none"/>
    </w:rPr>
  </w:style>
  <w:style w:type="character" w:customStyle="1" w:styleId="346">
    <w:name w:val="font461"/>
    <w:qFormat/>
    <w:uiPriority w:val="0"/>
    <w:rPr>
      <w:rFonts w:hint="eastAsia" w:ascii="宋体" w:hAnsi="宋体" w:eastAsia="宋体" w:cs="宋体"/>
      <w:color w:val="4B4B52"/>
      <w:sz w:val="22"/>
      <w:szCs w:val="22"/>
      <w:u w:val="none"/>
    </w:rPr>
  </w:style>
  <w:style w:type="character" w:customStyle="1" w:styleId="347">
    <w:name w:val="font471"/>
    <w:qFormat/>
    <w:uiPriority w:val="0"/>
    <w:rPr>
      <w:rFonts w:hint="eastAsia" w:ascii="宋体" w:hAnsi="宋体" w:eastAsia="宋体" w:cs="宋体"/>
      <w:color w:val="131318"/>
      <w:sz w:val="22"/>
      <w:szCs w:val="22"/>
      <w:u w:val="none"/>
      <w:vertAlign w:val="superscript"/>
    </w:rPr>
  </w:style>
  <w:style w:type="character" w:customStyle="1" w:styleId="348">
    <w:name w:val="font451"/>
    <w:qFormat/>
    <w:uiPriority w:val="0"/>
    <w:rPr>
      <w:rFonts w:hint="eastAsia" w:ascii="宋体" w:hAnsi="宋体" w:eastAsia="宋体" w:cs="宋体"/>
      <w:color w:val="26262A"/>
      <w:sz w:val="22"/>
      <w:szCs w:val="22"/>
      <w:u w:val="none"/>
      <w:vertAlign w:val="superscript"/>
    </w:rPr>
  </w:style>
  <w:style w:type="character" w:customStyle="1" w:styleId="349">
    <w:name w:val="font01"/>
    <w:qFormat/>
    <w:uiPriority w:val="0"/>
    <w:rPr>
      <w:rFonts w:hint="eastAsia" w:ascii="宋体" w:hAnsi="宋体" w:eastAsia="宋体" w:cs="宋体"/>
      <w:color w:val="010101"/>
      <w:sz w:val="22"/>
      <w:szCs w:val="22"/>
      <w:u w:val="none"/>
    </w:rPr>
  </w:style>
  <w:style w:type="character" w:customStyle="1" w:styleId="350">
    <w:name w:val="font212"/>
    <w:qFormat/>
    <w:uiPriority w:val="0"/>
    <w:rPr>
      <w:rFonts w:hint="eastAsia" w:ascii="宋体" w:hAnsi="宋体" w:eastAsia="宋体" w:cs="宋体"/>
      <w:color w:val="262428"/>
      <w:sz w:val="22"/>
      <w:szCs w:val="22"/>
      <w:u w:val="none"/>
    </w:rPr>
  </w:style>
  <w:style w:type="character" w:customStyle="1" w:styleId="351">
    <w:name w:val="font512"/>
    <w:qFormat/>
    <w:uiPriority w:val="0"/>
    <w:rPr>
      <w:rFonts w:hint="eastAsia" w:ascii="宋体" w:hAnsi="宋体" w:eastAsia="宋体" w:cs="宋体"/>
      <w:color w:val="46464B"/>
      <w:sz w:val="22"/>
      <w:szCs w:val="22"/>
      <w:u w:val="none"/>
      <w:vertAlign w:val="superscript"/>
    </w:rPr>
  </w:style>
  <w:style w:type="character" w:customStyle="1" w:styleId="352">
    <w:name w:val="font361"/>
    <w:qFormat/>
    <w:uiPriority w:val="0"/>
    <w:rPr>
      <w:rFonts w:hint="eastAsia" w:ascii="宋体" w:hAnsi="宋体" w:eastAsia="宋体" w:cs="宋体"/>
      <w:color w:val="28282A"/>
      <w:sz w:val="22"/>
      <w:szCs w:val="22"/>
      <w:u w:val="none"/>
    </w:rPr>
  </w:style>
  <w:style w:type="character" w:customStyle="1" w:styleId="353">
    <w:name w:val="font171"/>
    <w:qFormat/>
    <w:uiPriority w:val="0"/>
    <w:rPr>
      <w:rFonts w:hint="eastAsia" w:ascii="宋体" w:hAnsi="宋体" w:eastAsia="宋体" w:cs="宋体"/>
      <w:color w:val="28282A"/>
      <w:sz w:val="22"/>
      <w:szCs w:val="22"/>
      <w:u w:val="none"/>
    </w:rPr>
  </w:style>
  <w:style w:type="character" w:customStyle="1" w:styleId="354">
    <w:name w:val="font291"/>
    <w:qFormat/>
    <w:uiPriority w:val="0"/>
    <w:rPr>
      <w:rFonts w:hint="eastAsia" w:ascii="宋体" w:hAnsi="宋体" w:eastAsia="宋体" w:cs="宋体"/>
      <w:color w:val="26262A"/>
      <w:sz w:val="22"/>
      <w:szCs w:val="22"/>
      <w:u w:val="none"/>
    </w:rPr>
  </w:style>
  <w:style w:type="character" w:customStyle="1" w:styleId="355">
    <w:name w:val="font541"/>
    <w:qFormat/>
    <w:uiPriority w:val="0"/>
    <w:rPr>
      <w:rFonts w:hint="eastAsia" w:ascii="宋体" w:hAnsi="宋体" w:eastAsia="宋体" w:cs="宋体"/>
      <w:color w:val="000000"/>
      <w:sz w:val="22"/>
      <w:szCs w:val="22"/>
      <w:u w:val="none"/>
      <w:vertAlign w:val="superscript"/>
    </w:rPr>
  </w:style>
  <w:style w:type="character" w:customStyle="1" w:styleId="356">
    <w:name w:val="font122"/>
    <w:qFormat/>
    <w:uiPriority w:val="0"/>
    <w:rPr>
      <w:rFonts w:hint="eastAsia" w:ascii="宋体" w:hAnsi="宋体" w:eastAsia="宋体" w:cs="宋体"/>
      <w:color w:val="010101"/>
      <w:sz w:val="22"/>
      <w:szCs w:val="22"/>
      <w:u w:val="none"/>
      <w:vertAlign w:val="superscript"/>
    </w:rPr>
  </w:style>
  <w:style w:type="character" w:customStyle="1" w:styleId="357">
    <w:name w:val="font121"/>
    <w:qFormat/>
    <w:uiPriority w:val="0"/>
    <w:rPr>
      <w:rFonts w:hint="eastAsia" w:ascii="宋体" w:hAnsi="宋体" w:eastAsia="宋体" w:cs="宋体"/>
      <w:color w:val="131316"/>
      <w:sz w:val="22"/>
      <w:szCs w:val="22"/>
      <w:u w:val="none"/>
    </w:rPr>
  </w:style>
  <w:style w:type="character" w:customStyle="1" w:styleId="358">
    <w:name w:val="font61"/>
    <w:qFormat/>
    <w:uiPriority w:val="0"/>
    <w:rPr>
      <w:rFonts w:hint="eastAsia" w:ascii="宋体" w:hAnsi="宋体" w:eastAsia="宋体" w:cs="宋体"/>
      <w:color w:val="38383F"/>
      <w:sz w:val="22"/>
      <w:szCs w:val="22"/>
      <w:u w:val="none"/>
    </w:rPr>
  </w:style>
  <w:style w:type="character" w:customStyle="1" w:styleId="359">
    <w:name w:val="font131"/>
    <w:qFormat/>
    <w:uiPriority w:val="0"/>
    <w:rPr>
      <w:rFonts w:hint="eastAsia" w:ascii="宋体" w:hAnsi="宋体" w:eastAsia="宋体" w:cs="宋体"/>
      <w:color w:val="262428"/>
      <w:sz w:val="22"/>
      <w:szCs w:val="22"/>
      <w:u w:val="none"/>
    </w:rPr>
  </w:style>
  <w:style w:type="character" w:customStyle="1" w:styleId="360">
    <w:name w:val="font21"/>
    <w:qFormat/>
    <w:uiPriority w:val="0"/>
    <w:rPr>
      <w:rFonts w:hint="eastAsia" w:ascii="宋体" w:hAnsi="宋体" w:eastAsia="宋体" w:cs="宋体"/>
      <w:color w:val="151318"/>
      <w:sz w:val="22"/>
      <w:szCs w:val="22"/>
      <w:u w:val="none"/>
    </w:rPr>
  </w:style>
  <w:style w:type="character" w:customStyle="1" w:styleId="361">
    <w:name w:val="Char2 Char Char1"/>
    <w:semiHidden/>
    <w:qFormat/>
    <w:uiPriority w:val="0"/>
    <w:rPr>
      <w:rFonts w:eastAsia="宋体"/>
      <w:kern w:val="2"/>
      <w:sz w:val="18"/>
      <w:szCs w:val="18"/>
      <w:lang w:val="en-US" w:eastAsia="zh-CN" w:bidi="ar-SA"/>
    </w:rPr>
  </w:style>
  <w:style w:type="character" w:customStyle="1" w:styleId="362">
    <w:name w:val="font221"/>
    <w:qFormat/>
    <w:uiPriority w:val="0"/>
    <w:rPr>
      <w:rFonts w:hint="eastAsia" w:ascii="宋体" w:hAnsi="宋体" w:eastAsia="宋体" w:cs="宋体"/>
      <w:color w:val="46464B"/>
      <w:sz w:val="22"/>
      <w:szCs w:val="22"/>
      <w:u w:val="none"/>
    </w:rPr>
  </w:style>
  <w:style w:type="character" w:customStyle="1" w:styleId="363">
    <w:name w:val="Char Char141"/>
    <w:qFormat/>
    <w:locked/>
    <w:uiPriority w:val="0"/>
    <w:rPr>
      <w:rFonts w:ascii="Calibri" w:hAnsi="Calibri" w:eastAsia="宋体" w:cs="Calibri"/>
      <w:kern w:val="2"/>
      <w:sz w:val="18"/>
      <w:szCs w:val="18"/>
      <w:lang w:val="en-US" w:eastAsia="zh-CN" w:bidi="ar-SA"/>
    </w:rPr>
  </w:style>
  <w:style w:type="character" w:customStyle="1" w:styleId="364">
    <w:name w:val="font201"/>
    <w:qFormat/>
    <w:uiPriority w:val="0"/>
    <w:rPr>
      <w:rFonts w:hint="eastAsia" w:ascii="宋体" w:hAnsi="宋体" w:eastAsia="宋体" w:cs="宋体"/>
      <w:color w:val="131316"/>
      <w:sz w:val="22"/>
      <w:szCs w:val="22"/>
      <w:u w:val="none"/>
    </w:rPr>
  </w:style>
  <w:style w:type="character" w:customStyle="1" w:styleId="365">
    <w:name w:val="font271"/>
    <w:qFormat/>
    <w:uiPriority w:val="0"/>
    <w:rPr>
      <w:rFonts w:hint="eastAsia" w:ascii="宋体" w:hAnsi="宋体" w:eastAsia="宋体" w:cs="宋体"/>
      <w:color w:val="3B3B42"/>
      <w:sz w:val="22"/>
      <w:szCs w:val="22"/>
      <w:u w:val="none"/>
    </w:rPr>
  </w:style>
  <w:style w:type="character" w:customStyle="1" w:styleId="366">
    <w:name w:val="font81"/>
    <w:qFormat/>
    <w:uiPriority w:val="0"/>
    <w:rPr>
      <w:rFonts w:hint="eastAsia" w:ascii="宋体" w:hAnsi="宋体" w:eastAsia="宋体" w:cs="宋体"/>
      <w:color w:val="38383F"/>
      <w:sz w:val="22"/>
      <w:szCs w:val="22"/>
      <w:u w:val="none"/>
    </w:rPr>
  </w:style>
  <w:style w:type="character" w:customStyle="1" w:styleId="367">
    <w:name w:val="font412"/>
    <w:qFormat/>
    <w:uiPriority w:val="0"/>
    <w:rPr>
      <w:rFonts w:hint="eastAsia" w:ascii="宋体" w:hAnsi="宋体" w:eastAsia="宋体" w:cs="宋体"/>
      <w:color w:val="151316"/>
      <w:sz w:val="22"/>
      <w:szCs w:val="22"/>
      <w:u w:val="none"/>
    </w:rPr>
  </w:style>
  <w:style w:type="character" w:customStyle="1" w:styleId="368">
    <w:name w:val="font191"/>
    <w:qFormat/>
    <w:uiPriority w:val="0"/>
    <w:rPr>
      <w:rFonts w:hint="eastAsia" w:ascii="宋体" w:hAnsi="宋体" w:eastAsia="宋体" w:cs="宋体"/>
      <w:color w:val="46464B"/>
      <w:sz w:val="22"/>
      <w:szCs w:val="22"/>
      <w:u w:val="none"/>
    </w:rPr>
  </w:style>
  <w:style w:type="character" w:customStyle="1" w:styleId="369">
    <w:name w:val="font112"/>
    <w:qFormat/>
    <w:uiPriority w:val="0"/>
    <w:rPr>
      <w:rFonts w:hint="eastAsia" w:ascii="宋体" w:hAnsi="宋体" w:eastAsia="宋体" w:cs="宋体"/>
      <w:color w:val="343438"/>
      <w:sz w:val="22"/>
      <w:szCs w:val="22"/>
      <w:u w:val="none"/>
    </w:rPr>
  </w:style>
  <w:style w:type="character" w:customStyle="1" w:styleId="370">
    <w:name w:val="font401"/>
    <w:qFormat/>
    <w:uiPriority w:val="0"/>
    <w:rPr>
      <w:rFonts w:hint="eastAsia" w:ascii="宋体" w:hAnsi="宋体" w:eastAsia="宋体" w:cs="宋体"/>
      <w:color w:val="3A3B3F"/>
      <w:sz w:val="22"/>
      <w:szCs w:val="22"/>
      <w:u w:val="none"/>
    </w:rPr>
  </w:style>
  <w:style w:type="character" w:customStyle="1" w:styleId="371">
    <w:name w:val="font12"/>
    <w:qFormat/>
    <w:uiPriority w:val="0"/>
    <w:rPr>
      <w:rFonts w:hint="eastAsia" w:ascii="宋体" w:hAnsi="宋体" w:eastAsia="宋体" w:cs="宋体"/>
      <w:b/>
      <w:color w:val="26242A"/>
      <w:sz w:val="22"/>
      <w:szCs w:val="22"/>
      <w:u w:val="none"/>
    </w:rPr>
  </w:style>
  <w:style w:type="character" w:customStyle="1" w:styleId="372">
    <w:name w:val="font381"/>
    <w:qFormat/>
    <w:uiPriority w:val="0"/>
    <w:rPr>
      <w:rFonts w:hint="eastAsia" w:ascii="宋体" w:hAnsi="宋体" w:eastAsia="宋体" w:cs="宋体"/>
      <w:color w:val="16161A"/>
      <w:sz w:val="22"/>
      <w:szCs w:val="22"/>
      <w:u w:val="none"/>
    </w:rPr>
  </w:style>
  <w:style w:type="character" w:customStyle="1" w:styleId="373">
    <w:name w:val="font481"/>
    <w:qFormat/>
    <w:uiPriority w:val="0"/>
    <w:rPr>
      <w:rFonts w:hint="eastAsia" w:ascii="宋体" w:hAnsi="宋体" w:eastAsia="宋体" w:cs="宋体"/>
      <w:color w:val="646464"/>
      <w:sz w:val="22"/>
      <w:szCs w:val="22"/>
      <w:u w:val="none"/>
      <w:vertAlign w:val="superscript"/>
    </w:rPr>
  </w:style>
  <w:style w:type="character" w:customStyle="1" w:styleId="374">
    <w:name w:val="Char Char10"/>
    <w:qFormat/>
    <w:uiPriority w:val="0"/>
    <w:rPr>
      <w:rFonts w:ascii="Calibri" w:hAnsi="Calibri" w:eastAsia="宋体"/>
      <w:b/>
      <w:bCs/>
      <w:kern w:val="44"/>
      <w:sz w:val="44"/>
      <w:szCs w:val="44"/>
      <w:lang w:val="en-US" w:eastAsia="zh-CN" w:bidi="ar-SA"/>
    </w:rPr>
  </w:style>
  <w:style w:type="character" w:customStyle="1" w:styleId="375">
    <w:name w:val="font11"/>
    <w:qFormat/>
    <w:uiPriority w:val="0"/>
    <w:rPr>
      <w:rFonts w:hint="eastAsia" w:ascii="宋体" w:hAnsi="宋体" w:eastAsia="宋体" w:cs="宋体"/>
      <w:color w:val="151318"/>
      <w:sz w:val="22"/>
      <w:szCs w:val="22"/>
      <w:u w:val="none"/>
    </w:rPr>
  </w:style>
  <w:style w:type="character" w:customStyle="1" w:styleId="376">
    <w:name w:val="font181"/>
    <w:qFormat/>
    <w:uiPriority w:val="0"/>
    <w:rPr>
      <w:rFonts w:hint="eastAsia" w:ascii="宋体" w:hAnsi="宋体" w:eastAsia="宋体" w:cs="宋体"/>
      <w:b/>
      <w:color w:val="3A3B3F"/>
      <w:sz w:val="22"/>
      <w:szCs w:val="22"/>
      <w:u w:val="none"/>
    </w:rPr>
  </w:style>
  <w:style w:type="character" w:customStyle="1" w:styleId="377">
    <w:name w:val="font91"/>
    <w:qFormat/>
    <w:uiPriority w:val="0"/>
    <w:rPr>
      <w:rFonts w:hint="eastAsia" w:ascii="宋体" w:hAnsi="宋体" w:eastAsia="宋体" w:cs="宋体"/>
      <w:color w:val="46464B"/>
      <w:sz w:val="22"/>
      <w:szCs w:val="22"/>
      <w:u w:val="none"/>
      <w:vertAlign w:val="superscript"/>
    </w:rPr>
  </w:style>
  <w:style w:type="character" w:customStyle="1" w:styleId="378">
    <w:name w:val="font101"/>
    <w:qFormat/>
    <w:uiPriority w:val="0"/>
    <w:rPr>
      <w:rFonts w:hint="eastAsia" w:ascii="宋体" w:hAnsi="宋体" w:eastAsia="宋体" w:cs="宋体"/>
      <w:color w:val="4B4B52"/>
      <w:sz w:val="22"/>
      <w:szCs w:val="22"/>
      <w:u w:val="none"/>
    </w:rPr>
  </w:style>
  <w:style w:type="character" w:customStyle="1" w:styleId="379">
    <w:name w:val="font31"/>
    <w:qFormat/>
    <w:uiPriority w:val="0"/>
    <w:rPr>
      <w:rFonts w:hint="eastAsia" w:ascii="宋体" w:hAnsi="宋体" w:eastAsia="宋体" w:cs="宋体"/>
      <w:color w:val="28282D"/>
      <w:sz w:val="22"/>
      <w:szCs w:val="22"/>
      <w:u w:val="none"/>
    </w:rPr>
  </w:style>
  <w:style w:type="character" w:customStyle="1" w:styleId="380">
    <w:name w:val="font391"/>
    <w:qFormat/>
    <w:uiPriority w:val="0"/>
    <w:rPr>
      <w:rFonts w:hint="eastAsia" w:ascii="宋体" w:hAnsi="宋体" w:eastAsia="宋体" w:cs="宋体"/>
      <w:color w:val="4F4F56"/>
      <w:sz w:val="22"/>
      <w:szCs w:val="22"/>
      <w:u w:val="none"/>
    </w:rPr>
  </w:style>
  <w:style w:type="character" w:customStyle="1" w:styleId="381">
    <w:name w:val="font231"/>
    <w:qFormat/>
    <w:uiPriority w:val="0"/>
    <w:rPr>
      <w:rFonts w:hint="eastAsia" w:ascii="宋体" w:hAnsi="宋体" w:eastAsia="宋体" w:cs="宋体"/>
      <w:color w:val="333136"/>
      <w:sz w:val="22"/>
      <w:szCs w:val="22"/>
      <w:u w:val="none"/>
    </w:rPr>
  </w:style>
  <w:style w:type="character" w:customStyle="1" w:styleId="382">
    <w:name w:val="font51"/>
    <w:qFormat/>
    <w:uiPriority w:val="0"/>
    <w:rPr>
      <w:rFonts w:hint="eastAsia" w:ascii="宋体" w:hAnsi="宋体" w:eastAsia="宋体" w:cs="宋体"/>
      <w:color w:val="151318"/>
      <w:sz w:val="22"/>
      <w:szCs w:val="22"/>
      <w:u w:val="none"/>
    </w:rPr>
  </w:style>
  <w:style w:type="character" w:customStyle="1" w:styleId="383">
    <w:name w:val="font141"/>
    <w:qFormat/>
    <w:uiPriority w:val="0"/>
    <w:rPr>
      <w:rFonts w:hint="eastAsia" w:ascii="宋体" w:hAnsi="宋体" w:eastAsia="宋体" w:cs="宋体"/>
      <w:color w:val="606062"/>
      <w:sz w:val="22"/>
      <w:szCs w:val="22"/>
      <w:u w:val="none"/>
    </w:rPr>
  </w:style>
  <w:style w:type="character" w:customStyle="1" w:styleId="384">
    <w:name w:val="font351"/>
    <w:qFormat/>
    <w:uiPriority w:val="0"/>
    <w:rPr>
      <w:rFonts w:hint="eastAsia" w:ascii="宋体" w:hAnsi="宋体" w:eastAsia="宋体" w:cs="宋体"/>
      <w:color w:val="424246"/>
      <w:sz w:val="22"/>
      <w:szCs w:val="22"/>
      <w:u w:val="none"/>
    </w:rPr>
  </w:style>
  <w:style w:type="character" w:customStyle="1" w:styleId="385">
    <w:name w:val="font531"/>
    <w:qFormat/>
    <w:uiPriority w:val="0"/>
    <w:rPr>
      <w:rFonts w:hint="eastAsia" w:ascii="宋体" w:hAnsi="宋体" w:eastAsia="宋体" w:cs="宋体"/>
      <w:color w:val="000000"/>
      <w:sz w:val="22"/>
      <w:szCs w:val="22"/>
      <w:u w:val="none"/>
      <w:vertAlign w:val="superscript"/>
    </w:rPr>
  </w:style>
  <w:style w:type="character" w:customStyle="1" w:styleId="386">
    <w:name w:val="font151"/>
    <w:qFormat/>
    <w:uiPriority w:val="0"/>
    <w:rPr>
      <w:rFonts w:hint="eastAsia" w:ascii="宋体" w:hAnsi="宋体" w:eastAsia="宋体" w:cs="宋体"/>
      <w:color w:val="4B4B52"/>
      <w:sz w:val="22"/>
      <w:szCs w:val="22"/>
      <w:u w:val="none"/>
    </w:rPr>
  </w:style>
  <w:style w:type="character" w:customStyle="1" w:styleId="387">
    <w:name w:val="font111"/>
    <w:qFormat/>
    <w:uiPriority w:val="0"/>
    <w:rPr>
      <w:rFonts w:hint="eastAsia" w:ascii="宋体" w:hAnsi="宋体" w:eastAsia="宋体" w:cs="宋体"/>
      <w:color w:val="000000"/>
      <w:sz w:val="22"/>
      <w:szCs w:val="22"/>
      <w:u w:val="none"/>
    </w:rPr>
  </w:style>
  <w:style w:type="character" w:customStyle="1" w:styleId="388">
    <w:name w:val="font561"/>
    <w:qFormat/>
    <w:uiPriority w:val="0"/>
    <w:rPr>
      <w:rFonts w:hint="eastAsia" w:ascii="宋体" w:hAnsi="宋体" w:eastAsia="宋体" w:cs="宋体"/>
      <w:color w:val="333336"/>
      <w:sz w:val="22"/>
      <w:szCs w:val="22"/>
      <w:u w:val="none"/>
    </w:rPr>
  </w:style>
  <w:style w:type="character" w:customStyle="1" w:styleId="389">
    <w:name w:val="font421"/>
    <w:qFormat/>
    <w:uiPriority w:val="0"/>
    <w:rPr>
      <w:rFonts w:hint="eastAsia" w:ascii="宋体" w:hAnsi="宋体" w:eastAsia="宋体" w:cs="宋体"/>
      <w:color w:val="131318"/>
      <w:sz w:val="22"/>
      <w:szCs w:val="22"/>
      <w:u w:val="none"/>
    </w:rPr>
  </w:style>
  <w:style w:type="character" w:customStyle="1" w:styleId="390">
    <w:name w:val="font71"/>
    <w:qFormat/>
    <w:uiPriority w:val="0"/>
    <w:rPr>
      <w:rFonts w:hint="eastAsia" w:ascii="宋体" w:hAnsi="宋体" w:eastAsia="宋体" w:cs="宋体"/>
      <w:color w:val="000000"/>
      <w:sz w:val="22"/>
      <w:szCs w:val="22"/>
      <w:u w:val="none"/>
    </w:rPr>
  </w:style>
  <w:style w:type="character" w:customStyle="1" w:styleId="391">
    <w:name w:val="font41"/>
    <w:qFormat/>
    <w:uiPriority w:val="0"/>
    <w:rPr>
      <w:rFonts w:hint="eastAsia" w:ascii="宋体" w:hAnsi="宋体" w:eastAsia="宋体" w:cs="宋体"/>
      <w:color w:val="000000"/>
      <w:sz w:val="22"/>
      <w:szCs w:val="22"/>
      <w:u w:val="none"/>
      <w:vertAlign w:val="superscript"/>
    </w:rPr>
  </w:style>
  <w:style w:type="character" w:customStyle="1" w:styleId="392">
    <w:name w:val="font371"/>
    <w:qFormat/>
    <w:uiPriority w:val="0"/>
    <w:rPr>
      <w:rFonts w:hint="eastAsia" w:ascii="宋体" w:hAnsi="宋体" w:eastAsia="宋体" w:cs="宋体"/>
      <w:color w:val="464649"/>
      <w:sz w:val="22"/>
      <w:szCs w:val="22"/>
      <w:u w:val="none"/>
    </w:rPr>
  </w:style>
  <w:style w:type="paragraph" w:customStyle="1" w:styleId="393">
    <w:name w:val="Char2"/>
    <w:basedOn w:val="1"/>
    <w:qFormat/>
    <w:uiPriority w:val="0"/>
    <w:pPr>
      <w:spacing w:line="360" w:lineRule="auto"/>
      <w:ind w:firstLine="200" w:firstLineChars="200"/>
    </w:pPr>
    <w:rPr>
      <w:rFonts w:ascii="宋体" w:hAnsi="宋体" w:cs="宋体"/>
      <w:sz w:val="24"/>
      <w:szCs w:val="24"/>
    </w:rPr>
  </w:style>
  <w:style w:type="paragraph" w:customStyle="1" w:styleId="394">
    <w:name w:val="Char Char Char Char Char Char Char Char Char Char Char Char Char1"/>
    <w:basedOn w:val="1"/>
    <w:qFormat/>
    <w:uiPriority w:val="0"/>
    <w:pPr>
      <w:spacing w:line="360" w:lineRule="auto"/>
      <w:ind w:firstLine="200" w:firstLineChars="200"/>
    </w:pPr>
    <w:rPr>
      <w:rFonts w:ascii="宋体" w:hAnsi="宋体" w:cs="宋体"/>
      <w:sz w:val="24"/>
      <w:szCs w:val="24"/>
    </w:rPr>
  </w:style>
  <w:style w:type="paragraph" w:customStyle="1" w:styleId="395">
    <w:name w:val="Char Char Char Char Char Char Char2"/>
    <w:basedOn w:val="16"/>
    <w:qFormat/>
    <w:uiPriority w:val="0"/>
    <w:rPr>
      <w:rFonts w:ascii="Tahoma" w:hAnsi="Tahoma"/>
      <w:sz w:val="24"/>
    </w:rPr>
  </w:style>
  <w:style w:type="paragraph" w:customStyle="1" w:styleId="396">
    <w:name w:val="Char Char Char Char Char Char Char Char Char Char1"/>
    <w:basedOn w:val="1"/>
    <w:qFormat/>
    <w:uiPriority w:val="0"/>
    <w:pPr>
      <w:spacing w:line="360" w:lineRule="auto"/>
      <w:ind w:firstLine="200" w:firstLineChars="200"/>
    </w:pPr>
    <w:rPr>
      <w:rFonts w:ascii="宋体" w:hAnsi="宋体" w:cs="宋体"/>
      <w:sz w:val="24"/>
      <w:szCs w:val="24"/>
    </w:rPr>
  </w:style>
  <w:style w:type="paragraph" w:customStyle="1" w:styleId="397">
    <w:name w:val="TOC Heading"/>
    <w:basedOn w:val="2"/>
    <w:next w:val="1"/>
    <w:qFormat/>
    <w:uiPriority w:val="39"/>
    <w:pPr>
      <w:widowControl/>
      <w:spacing w:before="480" w:after="0" w:line="276" w:lineRule="auto"/>
      <w:jc w:val="left"/>
      <w:outlineLvl w:val="9"/>
    </w:pPr>
    <w:rPr>
      <w:rFonts w:ascii="Cambria" w:hAnsi="Cambria"/>
      <w:color w:val="365F91"/>
      <w:kern w:val="0"/>
      <w:sz w:val="28"/>
      <w:szCs w:val="28"/>
      <w:lang w:val="zh-CN" w:eastAsia="zh-CN"/>
    </w:rPr>
  </w:style>
  <w:style w:type="paragraph" w:customStyle="1" w:styleId="398">
    <w:name w:val="列表段落1"/>
    <w:basedOn w:val="1"/>
    <w:qFormat/>
    <w:uiPriority w:val="0"/>
    <w:pPr>
      <w:ind w:firstLine="420" w:firstLineChars="200"/>
    </w:pPr>
    <w:rPr>
      <w:rFonts w:ascii="Times New Roman" w:hAnsi="Times New Roman"/>
    </w:rPr>
  </w:style>
  <w:style w:type="character" w:customStyle="1" w:styleId="399">
    <w:name w:val="font13"/>
    <w:qFormat/>
    <w:uiPriority w:val="0"/>
    <w:rPr>
      <w:rFonts w:hint="eastAsia" w:ascii="宋体" w:hAnsi="宋体" w:eastAsia="宋体" w:cs="宋体"/>
      <w:color w:val="000000"/>
      <w:sz w:val="22"/>
      <w:szCs w:val="22"/>
      <w:u w:val="none"/>
    </w:rPr>
  </w:style>
  <w:style w:type="character" w:customStyle="1" w:styleId="400">
    <w:name w:val="last-child"/>
    <w:basedOn w:val="59"/>
    <w:qFormat/>
    <w:uiPriority w:val="0"/>
  </w:style>
  <w:style w:type="character" w:customStyle="1" w:styleId="401">
    <w:name w:val="last-child1"/>
    <w:basedOn w:val="59"/>
    <w:qFormat/>
    <w:uiPriority w:val="0"/>
  </w:style>
  <w:style w:type="character" w:customStyle="1" w:styleId="402">
    <w:name w:val="hover34"/>
    <w:basedOn w:val="59"/>
    <w:qFormat/>
    <w:uiPriority w:val="0"/>
    <w:rPr>
      <w:color w:val="999999"/>
      <w:bdr w:val="single" w:color="CCCCCC" w:sz="6" w:space="0"/>
      <w:shd w:val="clear" w:color="auto" w:fill="FFFFFF"/>
    </w:rPr>
  </w:style>
  <w:style w:type="character" w:customStyle="1" w:styleId="403">
    <w:name w:val="hover35"/>
    <w:basedOn w:val="59"/>
    <w:qFormat/>
    <w:uiPriority w:val="0"/>
    <w:rPr>
      <w:color w:val="FFFFFF"/>
      <w:shd w:val="clear" w:color="auto" w:fill="FFA800"/>
    </w:rPr>
  </w:style>
  <w:style w:type="character" w:customStyle="1" w:styleId="404">
    <w:name w:val="hover36"/>
    <w:basedOn w:val="59"/>
    <w:qFormat/>
    <w:uiPriority w:val="0"/>
    <w:rPr>
      <w:color w:val="999999"/>
      <w:bdr w:val="single" w:color="CCCCCC" w:sz="6" w:space="0"/>
      <w:shd w:val="clear" w:color="auto" w:fill="FFFFFF"/>
    </w:rPr>
  </w:style>
  <w:style w:type="character" w:customStyle="1" w:styleId="405">
    <w:name w:val="last-child2"/>
    <w:basedOn w:val="59"/>
    <w:qFormat/>
    <w:uiPriority w:val="0"/>
  </w:style>
  <w:style w:type="paragraph" w:customStyle="1" w:styleId="406">
    <w:name w:val="MSG_EN_FONT_STYLE_NAME_TEMPLATE_ROLE_LEVEL MSG_EN_FONT_STYLE_NAME_BY_ROLE_HEADING 6"/>
    <w:basedOn w:val="1"/>
    <w:qFormat/>
    <w:uiPriority w:val="0"/>
    <w:pPr>
      <w:shd w:val="clear" w:color="auto" w:fill="FFFFFF"/>
      <w:spacing w:before="460" w:after="760" w:line="300" w:lineRule="exact"/>
      <w:jc w:val="distribute"/>
      <w:outlineLvl w:val="5"/>
    </w:pPr>
    <w:rPr>
      <w:rFonts w:ascii="@SJQY" w:hAnsi="@SJQY" w:eastAsia="@SJQY" w:cs="@SJQY"/>
      <w:sz w:val="30"/>
      <w:szCs w:val="3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6AB270-2156-485B-9CFA-DF4923A6D4EF}">
  <ds:schemaRefs/>
</ds:datastoreItem>
</file>

<file path=docProps/app.xml><?xml version="1.0" encoding="utf-8"?>
<Properties xmlns="http://schemas.openxmlformats.org/officeDocument/2006/extended-properties" xmlns:vt="http://schemas.openxmlformats.org/officeDocument/2006/docPropsVTypes">
  <Template>Normal</Template>
  <Pages>21</Pages>
  <Words>3694</Words>
  <Characters>4412</Characters>
  <Lines>4068</Lines>
  <Paragraphs>4297</Paragraphs>
  <TotalTime>1</TotalTime>
  <ScaleCrop>false</ScaleCrop>
  <LinksUpToDate>false</LinksUpToDate>
  <CharactersWithSpaces>4426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2018-05-07T07:49:00Z</dcterms:created>
  <dc:creator>lenovo</dc:creator>
  <cp:lastModifiedBy>lenovo</cp:lastModifiedBy>
  <cp:lastPrinted>2026-04-28T03:24:00Z</cp:lastPrinted>
  <dcterms:modified xsi:type="dcterms:W3CDTF">2026-06-01T06:15:17Z</dcterms:modified>
  <cp:revision>1060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BB04EB7281D54A92A382D3E57C1B8627</vt:lpwstr>
  </property>
  <property fmtid="{D5CDD505-2E9C-101B-9397-08002B2CF9AE}" pid="4" name="KSOTemplateDocerSaveRecord">
    <vt:lpwstr>eyJoZGlkIjoiYzE4NTYxOGVkOTViODQxMjFmMWIxMzE5ZTRlOGE3NmUiLCJ1c2VySWQiOiI0MzA2NDQ1NzAifQ==</vt:lpwstr>
  </property>
</Properties>
</file>