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001ED">
      <w:pPr>
        <w:spacing w:line="400" w:lineRule="exact"/>
        <w:jc w:val="center"/>
        <w:rPr>
          <w:rFonts w:hint="eastAsia" w:ascii="黑体" w:hAnsi="黑体" w:eastAsia="黑体"/>
          <w:sz w:val="28"/>
          <w:szCs w:val="28"/>
          <w:highlight w:val="none"/>
        </w:rPr>
      </w:pPr>
      <w:r>
        <w:rPr>
          <w:rFonts w:hint="eastAsia" w:ascii="黑体" w:hAnsi="黑体" w:eastAsia="黑体"/>
          <w:sz w:val="28"/>
          <w:szCs w:val="28"/>
          <w:highlight w:val="none"/>
        </w:rPr>
        <w:t>长春至榆树高速公路建设项目10KV外电引入工程施工招标</w:t>
      </w:r>
    </w:p>
    <w:p w14:paraId="42C081EC">
      <w:pPr>
        <w:spacing w:line="400" w:lineRule="exact"/>
        <w:jc w:val="center"/>
        <w:rPr>
          <w:rFonts w:hint="eastAsia" w:ascii="黑体" w:hAnsi="黑体" w:eastAsia="黑体"/>
          <w:sz w:val="24"/>
          <w:highlight w:val="none"/>
        </w:rPr>
      </w:pPr>
      <w:r>
        <w:rPr>
          <w:rFonts w:hint="eastAsia" w:ascii="黑体" w:hAnsi="黑体" w:eastAsia="黑体"/>
          <w:bCs/>
          <w:color w:val="auto"/>
          <w:sz w:val="28"/>
          <w:szCs w:val="28"/>
          <w:highlight w:val="none"/>
        </w:rPr>
        <w:t>招标文件关键内容信息公开</w:t>
      </w:r>
    </w:p>
    <w:p w14:paraId="6E45183E">
      <w:pPr>
        <w:keepNext w:val="0"/>
        <w:keepLines w:val="0"/>
        <w:pageBreakBefore w:val="0"/>
        <w:kinsoku/>
        <w:wordWrap/>
        <w:overflowPunct/>
        <w:topLinePunct w:val="0"/>
        <w:bidi w:val="0"/>
        <w:snapToGrid w:val="0"/>
        <w:spacing w:line="360" w:lineRule="auto"/>
        <w:rPr>
          <w:rFonts w:ascii="黑体" w:eastAsia="黑体"/>
          <w:sz w:val="24"/>
          <w:highlight w:val="none"/>
        </w:rPr>
      </w:pPr>
      <w:bookmarkStart w:id="0" w:name="_Toc258182499"/>
      <w:r>
        <w:rPr>
          <w:rFonts w:hint="eastAsia" w:ascii="黑体" w:eastAsia="黑体"/>
          <w:sz w:val="24"/>
          <w:highlight w:val="none"/>
        </w:rPr>
        <w:t>1.招标条件</w:t>
      </w:r>
    </w:p>
    <w:p w14:paraId="189270E6">
      <w:pPr>
        <w:keepNext w:val="0"/>
        <w:keepLines w:val="0"/>
        <w:pageBreakBefore w:val="0"/>
        <w:kinsoku/>
        <w:wordWrap/>
        <w:overflowPunct/>
        <w:topLinePunct w:val="0"/>
        <w:bidi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本</w:t>
      </w:r>
      <w:bookmarkStart w:id="1" w:name="_Hlk208234284"/>
      <w:r>
        <w:rPr>
          <w:rFonts w:hint="eastAsia" w:ascii="宋体" w:hAnsi="宋体" w:cs="宋体"/>
          <w:szCs w:val="21"/>
          <w:highlight w:val="none"/>
        </w:rPr>
        <w:t>招标项目</w:t>
      </w:r>
      <w:r>
        <w:rPr>
          <w:rFonts w:hint="eastAsia" w:ascii="黑体" w:hAnsi="黑体" w:eastAsia="黑体" w:cs="宋体"/>
          <w:szCs w:val="21"/>
          <w:highlight w:val="none"/>
          <w:u w:val="single"/>
        </w:rPr>
        <w:t>长春至榆树高速公路建设项目</w:t>
      </w:r>
      <w:r>
        <w:rPr>
          <w:rFonts w:hint="eastAsia" w:ascii="宋体" w:hAnsi="宋体" w:cs="宋体"/>
          <w:szCs w:val="21"/>
          <w:highlight w:val="none"/>
        </w:rPr>
        <w:t>已由吉林省发展和改革委员会以《关于长春至榆树高速公路</w:t>
      </w:r>
      <w:bookmarkStart w:id="2" w:name="_Hlk208475872"/>
      <w:r>
        <w:rPr>
          <w:rFonts w:hint="eastAsia" w:ascii="宋体" w:hAnsi="宋体" w:cs="宋体"/>
          <w:szCs w:val="21"/>
          <w:highlight w:val="none"/>
        </w:rPr>
        <w:t>工程可行性研究报告的批复》（吉发改审批【2022】305号）、</w:t>
      </w:r>
      <w:r>
        <w:rPr>
          <w:rFonts w:hint="eastAsia" w:ascii="宋体" w:hAnsi="宋体"/>
          <w:szCs w:val="21"/>
          <w:highlight w:val="none"/>
        </w:rPr>
        <w:t>《</w:t>
      </w:r>
      <w:r>
        <w:rPr>
          <w:rFonts w:ascii="宋体" w:hAnsi="宋体" w:cs="微软雅黑"/>
          <w:szCs w:val="21"/>
          <w:highlight w:val="none"/>
        </w:rPr>
        <w:t>吉林省发展改革委关于长春至榆树高速公路工程可行性研究调整报告的批复</w:t>
      </w:r>
      <w:r>
        <w:rPr>
          <w:rFonts w:hint="eastAsia" w:ascii="宋体" w:hAnsi="宋体" w:cs="微软雅黑"/>
          <w:szCs w:val="21"/>
          <w:highlight w:val="none"/>
        </w:rPr>
        <w:t>》（</w:t>
      </w:r>
      <w:r>
        <w:rPr>
          <w:rFonts w:ascii="宋体" w:hAnsi="宋体" w:cs="微软雅黑"/>
          <w:szCs w:val="21"/>
          <w:highlight w:val="none"/>
        </w:rPr>
        <w:t>吉发改审批</w:t>
      </w:r>
      <w:r>
        <w:rPr>
          <w:rFonts w:hint="eastAsia" w:ascii="宋体" w:hAnsi="宋体"/>
          <w:szCs w:val="21"/>
          <w:highlight w:val="none"/>
        </w:rPr>
        <w:t>【</w:t>
      </w:r>
      <w:r>
        <w:rPr>
          <w:rFonts w:ascii="宋体" w:hAnsi="宋体" w:cs="微软雅黑"/>
          <w:szCs w:val="21"/>
          <w:highlight w:val="none"/>
        </w:rPr>
        <w:t>2025</w:t>
      </w:r>
      <w:r>
        <w:rPr>
          <w:rFonts w:hint="eastAsia" w:ascii="宋体" w:hAnsi="宋体"/>
          <w:szCs w:val="21"/>
          <w:highlight w:val="none"/>
        </w:rPr>
        <w:t>】</w:t>
      </w:r>
      <w:r>
        <w:rPr>
          <w:rFonts w:ascii="宋体" w:hAnsi="宋体" w:cs="微软雅黑"/>
          <w:szCs w:val="21"/>
          <w:highlight w:val="none"/>
        </w:rPr>
        <w:t>92号</w:t>
      </w:r>
      <w:r>
        <w:rPr>
          <w:rFonts w:hint="eastAsia" w:ascii="宋体" w:hAnsi="宋体" w:cs="微软雅黑"/>
          <w:szCs w:val="21"/>
          <w:highlight w:val="none"/>
        </w:rPr>
        <w:t>）</w:t>
      </w:r>
      <w:r>
        <w:rPr>
          <w:rFonts w:hint="eastAsia" w:ascii="宋体" w:hAnsi="宋体"/>
          <w:szCs w:val="21"/>
          <w:highlight w:val="none"/>
        </w:rPr>
        <w:t>批准建设</w:t>
      </w:r>
      <w:r>
        <w:rPr>
          <w:rFonts w:hint="eastAsia" w:ascii="宋体" w:hAnsi="宋体" w:cs="宋体"/>
          <w:szCs w:val="21"/>
          <w:highlight w:val="none"/>
        </w:rPr>
        <w:t>，施工图设计已由吉林省交通运输厅以《</w:t>
      </w:r>
      <w:r>
        <w:rPr>
          <w:rFonts w:ascii="宋体" w:hAnsi="宋体" w:cs="宋体"/>
          <w:szCs w:val="21"/>
          <w:highlight w:val="none"/>
        </w:rPr>
        <w:t>吉林省交通运输厅关于长春至榆树高速公路房建、10kV外电及上跨陶舒铁路工程施工图设计的批复</w:t>
      </w:r>
      <w:r>
        <w:rPr>
          <w:rFonts w:hint="eastAsia" w:ascii="宋体" w:hAnsi="宋体" w:cs="宋体"/>
          <w:szCs w:val="21"/>
          <w:highlight w:val="none"/>
        </w:rPr>
        <w:t>》（</w:t>
      </w:r>
      <w:r>
        <w:rPr>
          <w:rFonts w:ascii="宋体" w:hAnsi="宋体" w:cs="宋体"/>
          <w:szCs w:val="21"/>
          <w:highlight w:val="none"/>
        </w:rPr>
        <w:t>吉交审批函</w:t>
      </w:r>
      <w:r>
        <w:rPr>
          <w:rFonts w:hint="eastAsia" w:ascii="宋体" w:hAnsi="宋体" w:cs="宋体"/>
          <w:szCs w:val="21"/>
          <w:highlight w:val="none"/>
        </w:rPr>
        <w:t>【</w:t>
      </w:r>
      <w:r>
        <w:rPr>
          <w:rFonts w:ascii="宋体" w:hAnsi="宋体" w:cs="宋体"/>
          <w:szCs w:val="21"/>
          <w:highlight w:val="none"/>
        </w:rPr>
        <w:t>2025</w:t>
      </w:r>
      <w:r>
        <w:rPr>
          <w:rFonts w:hint="eastAsia" w:ascii="宋体" w:hAnsi="宋体" w:cs="宋体"/>
          <w:szCs w:val="21"/>
          <w:highlight w:val="none"/>
        </w:rPr>
        <w:t>】</w:t>
      </w:r>
      <w:r>
        <w:rPr>
          <w:rFonts w:ascii="宋体" w:hAnsi="宋体" w:cs="宋体"/>
          <w:szCs w:val="21"/>
          <w:highlight w:val="none"/>
        </w:rPr>
        <w:t>16号</w:t>
      </w:r>
      <w:r>
        <w:rPr>
          <w:rFonts w:hint="eastAsia" w:ascii="宋体" w:hAnsi="宋体" w:cs="宋体"/>
          <w:szCs w:val="21"/>
          <w:highlight w:val="none"/>
        </w:rPr>
        <w:t>）批准，项目业主为</w:t>
      </w:r>
      <w:r>
        <w:rPr>
          <w:rFonts w:hint="eastAsia" w:ascii="黑体" w:hAnsi="黑体" w:eastAsia="黑体" w:cs="宋体"/>
          <w:szCs w:val="21"/>
          <w:highlight w:val="none"/>
          <w:u w:val="single"/>
        </w:rPr>
        <w:t>长春市高等级公路建设管理中心</w:t>
      </w:r>
      <w:r>
        <w:rPr>
          <w:rFonts w:hint="eastAsia" w:ascii="宋体" w:hAnsi="宋体" w:cs="宋体"/>
          <w:szCs w:val="21"/>
          <w:highlight w:val="none"/>
        </w:rPr>
        <w:t>，建设资金来自</w:t>
      </w:r>
      <w:r>
        <w:rPr>
          <w:rFonts w:hint="eastAsia" w:ascii="黑体" w:hAnsi="黑体" w:eastAsia="黑体" w:cs="宋体"/>
          <w:szCs w:val="21"/>
          <w:highlight w:val="none"/>
          <w:u w:val="single"/>
        </w:rPr>
        <w:t>省补贴及政府专项债券</w:t>
      </w:r>
      <w:r>
        <w:rPr>
          <w:rFonts w:hint="eastAsia" w:ascii="宋体" w:hAnsi="宋体" w:cs="宋体"/>
          <w:szCs w:val="21"/>
          <w:highlight w:val="none"/>
        </w:rPr>
        <w:t>，出资比例为</w:t>
      </w:r>
      <w:r>
        <w:rPr>
          <w:rFonts w:hint="eastAsia" w:ascii="黑体" w:hAnsi="黑体" w:eastAsia="黑体" w:cs="宋体"/>
          <w:szCs w:val="21"/>
          <w:highlight w:val="none"/>
          <w:u w:val="single"/>
        </w:rPr>
        <w:t>10：90</w:t>
      </w:r>
      <w:r>
        <w:rPr>
          <w:rFonts w:hint="eastAsia" w:ascii="宋体" w:hAnsi="宋体" w:cs="宋体"/>
          <w:szCs w:val="21"/>
          <w:highlight w:val="none"/>
        </w:rPr>
        <w:t>，招标人为</w:t>
      </w:r>
      <w:r>
        <w:rPr>
          <w:rFonts w:hint="eastAsia" w:ascii="黑体" w:hAnsi="黑体" w:eastAsia="黑体" w:cs="宋体"/>
          <w:szCs w:val="21"/>
          <w:highlight w:val="none"/>
          <w:u w:val="single"/>
        </w:rPr>
        <w:t>长春市高等级公路建设管理中心</w:t>
      </w:r>
      <w:r>
        <w:rPr>
          <w:rFonts w:hint="eastAsia" w:ascii="宋体" w:hAnsi="宋体" w:cs="宋体"/>
          <w:szCs w:val="21"/>
          <w:highlight w:val="none"/>
        </w:rPr>
        <w:t>。项目已具备招标条件,现对该项目</w:t>
      </w:r>
      <w:r>
        <w:rPr>
          <w:rFonts w:hint="eastAsia" w:ascii="黑体" w:hAnsi="黑体" w:eastAsia="黑体"/>
          <w:szCs w:val="21"/>
          <w:highlight w:val="none"/>
        </w:rPr>
        <w:t>10KV外电引入工程</w:t>
      </w:r>
      <w:r>
        <w:rPr>
          <w:rFonts w:hint="eastAsia" w:ascii="黑体" w:hAnsi="黑体" w:eastAsia="黑体" w:cs="宋体"/>
          <w:szCs w:val="21"/>
          <w:highlight w:val="none"/>
        </w:rPr>
        <w:t>施工</w:t>
      </w:r>
      <w:r>
        <w:rPr>
          <w:rFonts w:hint="eastAsia" w:ascii="宋体" w:hAnsi="宋体" w:cs="宋体"/>
          <w:szCs w:val="21"/>
          <w:highlight w:val="none"/>
        </w:rPr>
        <w:t>进行公开招标。</w:t>
      </w:r>
    </w:p>
    <w:p w14:paraId="3E698002">
      <w:pPr>
        <w:keepNext w:val="0"/>
        <w:keepLines w:val="0"/>
        <w:pageBreakBefore w:val="0"/>
        <w:kinsoku/>
        <w:wordWrap/>
        <w:overflowPunct/>
        <w:topLinePunct w:val="0"/>
        <w:bidi w:val="0"/>
        <w:snapToGrid w:val="0"/>
        <w:spacing w:line="360" w:lineRule="auto"/>
        <w:rPr>
          <w:rFonts w:ascii="黑体" w:eastAsia="黑体"/>
          <w:sz w:val="24"/>
          <w:highlight w:val="none"/>
        </w:rPr>
      </w:pPr>
      <w:r>
        <w:rPr>
          <w:rFonts w:hint="eastAsia" w:ascii="黑体" w:eastAsia="黑体"/>
          <w:sz w:val="24"/>
          <w:highlight w:val="none"/>
        </w:rPr>
        <w:t>2.项目概况与招标范围</w:t>
      </w:r>
    </w:p>
    <w:bookmarkEnd w:id="0"/>
    <w:p w14:paraId="7060B45A">
      <w:pPr>
        <w:keepNext w:val="0"/>
        <w:keepLines w:val="0"/>
        <w:pageBreakBefore w:val="0"/>
        <w:kinsoku/>
        <w:wordWrap/>
        <w:overflowPunct/>
        <w:topLinePunct w:val="0"/>
        <w:bidi w:val="0"/>
        <w:adjustRightInd w:val="0"/>
        <w:snapToGrid w:val="0"/>
        <w:spacing w:line="360" w:lineRule="auto"/>
        <w:ind w:firstLine="420" w:firstLineChars="200"/>
        <w:rPr>
          <w:rFonts w:hint="eastAsia" w:ascii="黑体" w:hAnsi="黑体" w:eastAsia="黑体"/>
          <w:szCs w:val="21"/>
          <w:highlight w:val="none"/>
        </w:rPr>
      </w:pPr>
      <w:bookmarkStart w:id="3" w:name="_Toc14934199"/>
      <w:bookmarkStart w:id="4" w:name="_Toc258182502"/>
      <w:r>
        <w:rPr>
          <w:rFonts w:hint="eastAsia" w:ascii="黑体" w:hAnsi="黑体" w:eastAsia="黑体"/>
          <w:szCs w:val="21"/>
          <w:highlight w:val="none"/>
        </w:rPr>
        <w:t>2</w:t>
      </w:r>
      <w:r>
        <w:rPr>
          <w:rFonts w:ascii="黑体" w:hAnsi="黑体" w:eastAsia="黑体"/>
          <w:szCs w:val="21"/>
          <w:highlight w:val="none"/>
        </w:rPr>
        <w:t xml:space="preserve">.1 </w:t>
      </w:r>
      <w:r>
        <w:rPr>
          <w:rFonts w:hint="eastAsia" w:ascii="黑体" w:hAnsi="黑体" w:eastAsia="黑体"/>
          <w:szCs w:val="21"/>
          <w:highlight w:val="none"/>
        </w:rPr>
        <w:t>建设规模</w:t>
      </w:r>
    </w:p>
    <w:p w14:paraId="12D7386C">
      <w:pPr>
        <w:pStyle w:val="231"/>
        <w:keepNext w:val="0"/>
        <w:keepLines w:val="0"/>
        <w:pageBreakBefore w:val="0"/>
        <w:kinsoku/>
        <w:wordWrap/>
        <w:overflowPunct/>
        <w:topLinePunct w:val="0"/>
        <w:bidi w:val="0"/>
        <w:snapToGrid w:val="0"/>
        <w:spacing w:line="360" w:lineRule="auto"/>
        <w:ind w:firstLine="460"/>
        <w:rPr>
          <w:rFonts w:hint="eastAsia" w:hAnsi="宋体"/>
          <w:szCs w:val="21"/>
          <w:highlight w:val="none"/>
        </w:rPr>
      </w:pPr>
      <w:r>
        <w:rPr>
          <w:rFonts w:hAnsi="宋体"/>
          <w:szCs w:val="21"/>
          <w:highlight w:val="none"/>
        </w:rPr>
        <w:t>高速公路主线</w:t>
      </w:r>
      <w:r>
        <w:rPr>
          <w:rFonts w:hint="eastAsia" w:cs="宋体" w:asciiTheme="minorEastAsia" w:hAnsiTheme="minorEastAsia" w:eastAsiaTheme="minorEastAsia"/>
          <w:szCs w:val="21"/>
          <w:highlight w:val="none"/>
        </w:rPr>
        <w:t>140.043公里</w:t>
      </w:r>
      <w:r>
        <w:rPr>
          <w:rFonts w:hint="eastAsia" w:hAnsi="宋体"/>
          <w:szCs w:val="21"/>
          <w:highlight w:val="none"/>
        </w:rPr>
        <w:t>，九台连接线2.534公里，榆树连接线4.661公里。</w:t>
      </w:r>
    </w:p>
    <w:p w14:paraId="4A7B7DC1">
      <w:pPr>
        <w:keepNext w:val="0"/>
        <w:keepLines w:val="0"/>
        <w:pageBreakBefore w:val="0"/>
        <w:kinsoku/>
        <w:wordWrap/>
        <w:overflowPunct/>
        <w:topLinePunct w:val="0"/>
        <w:bidi w:val="0"/>
        <w:snapToGrid w:val="0"/>
        <w:spacing w:line="360" w:lineRule="auto"/>
        <w:ind w:firstLine="420" w:firstLineChars="200"/>
        <w:jc w:val="left"/>
        <w:rPr>
          <w:rFonts w:hint="eastAsia" w:ascii="黑体" w:hAnsi="黑体" w:eastAsia="黑体"/>
          <w:szCs w:val="21"/>
          <w:highlight w:val="none"/>
        </w:rPr>
      </w:pPr>
      <w:r>
        <w:rPr>
          <w:rFonts w:ascii="黑体" w:hAnsi="黑体" w:eastAsia="黑体"/>
          <w:szCs w:val="21"/>
          <w:highlight w:val="none"/>
        </w:rPr>
        <w:t>（</w:t>
      </w:r>
      <w:r>
        <w:rPr>
          <w:rFonts w:hint="eastAsia" w:ascii="黑体" w:hAnsi="黑体" w:eastAsia="黑体"/>
          <w:szCs w:val="21"/>
          <w:highlight w:val="none"/>
        </w:rPr>
        <w:t>1）A设计段：长春至九台段（K0+000</w:t>
      </w:r>
      <w:r>
        <w:rPr>
          <w:rFonts w:hint="eastAsia" w:ascii="黑体" w:hAnsi="黑体" w:eastAsia="黑体" w:cs="宋体"/>
          <w:color w:val="000000"/>
          <w:szCs w:val="21"/>
          <w:highlight w:val="none"/>
          <w:lang w:val="zh-CN"/>
        </w:rPr>
        <w:t>～</w:t>
      </w:r>
      <w:r>
        <w:rPr>
          <w:rFonts w:hint="eastAsia" w:ascii="黑体" w:hAnsi="黑体" w:eastAsia="黑体"/>
          <w:szCs w:val="21"/>
          <w:highlight w:val="none"/>
        </w:rPr>
        <w:t>K66+500）10kV外电工程</w:t>
      </w:r>
    </w:p>
    <w:p w14:paraId="6702F2BD">
      <w:pPr>
        <w:keepNext w:val="0"/>
        <w:keepLines w:val="0"/>
        <w:pageBreakBefore w:val="0"/>
        <w:kinsoku/>
        <w:wordWrap/>
        <w:overflowPunct/>
        <w:topLinePunct w:val="0"/>
        <w:bidi w:val="0"/>
        <w:snapToGrid w:val="0"/>
        <w:spacing w:line="360" w:lineRule="auto"/>
        <w:ind w:firstLine="420" w:firstLineChars="200"/>
        <w:jc w:val="left"/>
        <w:rPr>
          <w:rFonts w:hint="eastAsia" w:cs="宋体" w:asciiTheme="minorEastAsia" w:hAnsiTheme="minorEastAsia" w:eastAsiaTheme="minorEastAsia"/>
          <w:color w:val="000000"/>
          <w:szCs w:val="21"/>
          <w:highlight w:val="none"/>
          <w:lang w:val="zh-CN"/>
        </w:rPr>
      </w:pPr>
      <w:r>
        <w:rPr>
          <w:rFonts w:cs="宋体" w:asciiTheme="minorEastAsia" w:hAnsiTheme="minorEastAsia" w:eastAsiaTheme="minorEastAsia"/>
          <w:color w:val="000000"/>
          <w:szCs w:val="21"/>
          <w:highlight w:val="none"/>
        </w:rPr>
        <w:t>共建设八个</w:t>
      </w:r>
      <w:r>
        <w:rPr>
          <w:rFonts w:hint="eastAsia" w:cs="宋体" w:asciiTheme="minorEastAsia" w:hAnsiTheme="minorEastAsia" w:eastAsiaTheme="minorEastAsia"/>
          <w:color w:val="000000"/>
          <w:szCs w:val="21"/>
          <w:highlight w:val="none"/>
        </w:rPr>
        <w:t>场</w:t>
      </w:r>
      <w:r>
        <w:rPr>
          <w:rFonts w:cs="宋体" w:asciiTheme="minorEastAsia" w:hAnsiTheme="minorEastAsia" w:eastAsiaTheme="minorEastAsia"/>
          <w:color w:val="000000"/>
          <w:szCs w:val="21"/>
          <w:highlight w:val="none"/>
        </w:rPr>
        <w:t>区，分别为兴华互通匝道收费站</w:t>
      </w:r>
      <w:r>
        <w:rPr>
          <w:rFonts w:hint="eastAsia" w:cs="宋体" w:asciiTheme="minorEastAsia" w:hAnsiTheme="minorEastAsia" w:eastAsiaTheme="minorEastAsia"/>
          <w:color w:val="000000"/>
          <w:szCs w:val="21"/>
          <w:highlight w:val="none"/>
        </w:rPr>
        <w:t>，</w:t>
      </w:r>
      <w:r>
        <w:rPr>
          <w:rFonts w:cs="宋体" w:asciiTheme="minorEastAsia" w:hAnsiTheme="minorEastAsia" w:eastAsiaTheme="minorEastAsia"/>
          <w:color w:val="000000"/>
          <w:szCs w:val="21"/>
          <w:highlight w:val="none"/>
        </w:rPr>
        <w:t>卡伦互通匝道收费站</w:t>
      </w:r>
      <w:r>
        <w:rPr>
          <w:rFonts w:hint="eastAsia" w:cs="宋体" w:asciiTheme="minorEastAsia" w:hAnsiTheme="minorEastAsia" w:eastAsiaTheme="minorEastAsia"/>
          <w:color w:val="000000"/>
          <w:szCs w:val="21"/>
          <w:highlight w:val="none"/>
        </w:rPr>
        <w:t>，</w:t>
      </w:r>
      <w:r>
        <w:rPr>
          <w:rFonts w:cs="宋体" w:asciiTheme="minorEastAsia" w:hAnsiTheme="minorEastAsia" w:eastAsiaTheme="minorEastAsia"/>
          <w:color w:val="000000"/>
          <w:szCs w:val="21"/>
          <w:highlight w:val="none"/>
        </w:rPr>
        <w:t>吉祥互通匝道收费站</w:t>
      </w:r>
      <w:r>
        <w:rPr>
          <w:rFonts w:hint="eastAsia" w:cs="宋体" w:asciiTheme="minorEastAsia" w:hAnsiTheme="minorEastAsia" w:eastAsiaTheme="minorEastAsia"/>
          <w:color w:val="000000"/>
          <w:szCs w:val="21"/>
          <w:highlight w:val="none"/>
        </w:rPr>
        <w:t>，</w:t>
      </w:r>
      <w:r>
        <w:rPr>
          <w:rFonts w:cs="宋体" w:asciiTheme="minorEastAsia" w:hAnsiTheme="minorEastAsia" w:eastAsiaTheme="minorEastAsia"/>
          <w:color w:val="000000"/>
          <w:szCs w:val="21"/>
          <w:highlight w:val="none"/>
        </w:rPr>
        <w:t>龙嘉服务区</w:t>
      </w:r>
      <w:r>
        <w:rPr>
          <w:rFonts w:hint="eastAsia" w:cs="宋体" w:asciiTheme="minorEastAsia" w:hAnsiTheme="minorEastAsia" w:eastAsiaTheme="minorEastAsia"/>
          <w:color w:val="000000"/>
          <w:szCs w:val="21"/>
          <w:highlight w:val="none"/>
        </w:rPr>
        <w:t>，</w:t>
      </w:r>
      <w:r>
        <w:rPr>
          <w:rFonts w:cs="宋体" w:asciiTheme="minorEastAsia" w:hAnsiTheme="minorEastAsia" w:eastAsiaTheme="minorEastAsia"/>
          <w:color w:val="000000"/>
          <w:szCs w:val="21"/>
          <w:highlight w:val="none"/>
        </w:rPr>
        <w:t>九台西管理分中心、养护工区、收费站</w:t>
      </w:r>
      <w:r>
        <w:rPr>
          <w:rFonts w:hint="eastAsia" w:cs="宋体" w:asciiTheme="minorEastAsia" w:hAnsiTheme="minorEastAsia" w:eastAsiaTheme="minorEastAsia"/>
          <w:color w:val="000000"/>
          <w:szCs w:val="21"/>
          <w:highlight w:val="none"/>
        </w:rPr>
        <w:t>，</w:t>
      </w:r>
      <w:r>
        <w:rPr>
          <w:rFonts w:cs="宋体" w:asciiTheme="minorEastAsia" w:hAnsiTheme="minorEastAsia" w:eastAsiaTheme="minorEastAsia"/>
          <w:color w:val="000000"/>
          <w:szCs w:val="21"/>
          <w:highlight w:val="none"/>
        </w:rPr>
        <w:t>栖凤停车区</w:t>
      </w:r>
      <w:r>
        <w:rPr>
          <w:rFonts w:hint="eastAsia" w:cs="宋体" w:asciiTheme="minorEastAsia" w:hAnsiTheme="minorEastAsia" w:eastAsiaTheme="minorEastAsia"/>
          <w:color w:val="000000"/>
          <w:szCs w:val="21"/>
          <w:highlight w:val="none"/>
        </w:rPr>
        <w:t>，</w:t>
      </w:r>
      <w:r>
        <w:rPr>
          <w:rFonts w:cs="宋体" w:asciiTheme="minorEastAsia" w:hAnsiTheme="minorEastAsia" w:eastAsiaTheme="minorEastAsia"/>
          <w:color w:val="000000"/>
          <w:szCs w:val="21"/>
          <w:highlight w:val="none"/>
        </w:rPr>
        <w:t>城子街互通匝道收费站</w:t>
      </w:r>
      <w:r>
        <w:rPr>
          <w:rFonts w:hint="eastAsia" w:cs="宋体" w:asciiTheme="minorEastAsia" w:hAnsiTheme="minorEastAsia" w:eastAsiaTheme="minorEastAsia"/>
          <w:color w:val="000000"/>
          <w:szCs w:val="21"/>
          <w:highlight w:val="none"/>
        </w:rPr>
        <w:t>，</w:t>
      </w:r>
      <w:r>
        <w:rPr>
          <w:rFonts w:cs="宋体" w:asciiTheme="minorEastAsia" w:hAnsiTheme="minorEastAsia" w:eastAsiaTheme="minorEastAsia"/>
          <w:color w:val="000000"/>
          <w:szCs w:val="21"/>
          <w:highlight w:val="none"/>
        </w:rPr>
        <w:t>兴北大路道路照明。</w:t>
      </w:r>
    </w:p>
    <w:p w14:paraId="260F8C86">
      <w:pPr>
        <w:keepNext w:val="0"/>
        <w:keepLines w:val="0"/>
        <w:pageBreakBefore w:val="0"/>
        <w:kinsoku/>
        <w:wordWrap/>
        <w:overflowPunct/>
        <w:topLinePunct w:val="0"/>
        <w:bidi w:val="0"/>
        <w:snapToGrid w:val="0"/>
        <w:spacing w:line="360" w:lineRule="auto"/>
        <w:ind w:firstLine="420" w:firstLineChars="200"/>
        <w:jc w:val="left"/>
        <w:rPr>
          <w:rFonts w:hint="eastAsia" w:ascii="黑体" w:hAnsi="黑体" w:eastAsia="黑体"/>
          <w:szCs w:val="21"/>
          <w:highlight w:val="none"/>
        </w:rPr>
      </w:pPr>
      <w:r>
        <w:rPr>
          <w:rFonts w:ascii="黑体" w:hAnsi="黑体" w:eastAsia="黑体" w:cs="宋体"/>
          <w:color w:val="000000"/>
          <w:szCs w:val="21"/>
          <w:highlight w:val="none"/>
          <w:lang w:val="zh-CN"/>
        </w:rPr>
        <w:t>（</w:t>
      </w:r>
      <w:r>
        <w:rPr>
          <w:rFonts w:hint="eastAsia" w:ascii="黑体" w:hAnsi="黑体" w:eastAsia="黑体" w:cs="宋体"/>
          <w:color w:val="000000"/>
          <w:szCs w:val="21"/>
          <w:highlight w:val="none"/>
          <w:lang w:val="zh-CN"/>
        </w:rPr>
        <w:t>2）B设计段：</w:t>
      </w:r>
      <w:r>
        <w:rPr>
          <w:rFonts w:hint="eastAsia" w:ascii="黑体" w:hAnsi="黑体" w:eastAsia="黑体"/>
          <w:szCs w:val="21"/>
          <w:highlight w:val="none"/>
        </w:rPr>
        <w:t>九台至榆树段（K66+500</w:t>
      </w:r>
      <w:r>
        <w:rPr>
          <w:rFonts w:hint="eastAsia" w:ascii="黑体" w:hAnsi="黑体" w:eastAsia="黑体" w:cs="宋体"/>
          <w:color w:val="000000"/>
          <w:szCs w:val="21"/>
          <w:highlight w:val="none"/>
          <w:lang w:val="zh-CN"/>
        </w:rPr>
        <w:t>～</w:t>
      </w:r>
      <w:r>
        <w:rPr>
          <w:rFonts w:hint="eastAsia" w:ascii="黑体" w:hAnsi="黑体" w:eastAsia="黑体"/>
          <w:szCs w:val="21"/>
          <w:highlight w:val="none"/>
        </w:rPr>
        <w:t>K140+024.73) 10kV外电工程</w:t>
      </w:r>
    </w:p>
    <w:p w14:paraId="1B614E78">
      <w:pPr>
        <w:pStyle w:val="231"/>
        <w:keepNext w:val="0"/>
        <w:keepLines w:val="0"/>
        <w:pageBreakBefore w:val="0"/>
        <w:kinsoku/>
        <w:wordWrap/>
        <w:overflowPunct/>
        <w:topLinePunct w:val="0"/>
        <w:bidi w:val="0"/>
        <w:snapToGrid w:val="0"/>
        <w:spacing w:line="360" w:lineRule="auto"/>
        <w:ind w:firstLine="460" w:firstLineChars="200"/>
        <w:rPr>
          <w:rFonts w:hint="eastAsia" w:cs="宋体" w:asciiTheme="minorEastAsia" w:hAnsiTheme="minorEastAsia" w:eastAsiaTheme="minorEastAsia"/>
          <w:color w:val="000000"/>
          <w:spacing w:val="0"/>
          <w:kern w:val="2"/>
          <w:szCs w:val="21"/>
          <w:highlight w:val="none"/>
        </w:rPr>
      </w:pPr>
      <w:r>
        <w:rPr>
          <w:rFonts w:cs="宋体" w:asciiTheme="minorEastAsia" w:hAnsiTheme="minorEastAsia" w:eastAsiaTheme="minorEastAsia"/>
          <w:color w:val="000000"/>
          <w:szCs w:val="21"/>
          <w:highlight w:val="none"/>
        </w:rPr>
        <w:t>共建设八个</w:t>
      </w:r>
      <w:r>
        <w:rPr>
          <w:rFonts w:hint="eastAsia" w:cs="宋体" w:asciiTheme="minorEastAsia" w:hAnsiTheme="minorEastAsia" w:eastAsiaTheme="minorEastAsia"/>
          <w:color w:val="000000"/>
          <w:szCs w:val="21"/>
          <w:highlight w:val="none"/>
        </w:rPr>
        <w:t>场</w:t>
      </w:r>
      <w:r>
        <w:rPr>
          <w:rFonts w:cs="宋体" w:asciiTheme="minorEastAsia" w:hAnsiTheme="minorEastAsia" w:eastAsiaTheme="minorEastAsia"/>
          <w:color w:val="000000"/>
          <w:szCs w:val="21"/>
          <w:highlight w:val="none"/>
        </w:rPr>
        <w:t>区，</w:t>
      </w:r>
      <w:r>
        <w:rPr>
          <w:rFonts w:cs="宋体" w:asciiTheme="minorEastAsia" w:hAnsiTheme="minorEastAsia" w:eastAsiaTheme="minorEastAsia"/>
          <w:color w:val="000000"/>
          <w:spacing w:val="0"/>
          <w:kern w:val="2"/>
          <w:szCs w:val="21"/>
          <w:highlight w:val="none"/>
        </w:rPr>
        <w:t>分别为青山服务区</w:t>
      </w:r>
      <w:r>
        <w:rPr>
          <w:rFonts w:hint="eastAsia" w:cs="宋体" w:asciiTheme="minorEastAsia" w:hAnsiTheme="minorEastAsia" w:eastAsiaTheme="minorEastAsia"/>
          <w:color w:val="000000"/>
          <w:spacing w:val="0"/>
          <w:kern w:val="2"/>
          <w:szCs w:val="21"/>
          <w:highlight w:val="none"/>
        </w:rPr>
        <w:t>，</w:t>
      </w:r>
      <w:r>
        <w:rPr>
          <w:rFonts w:cs="宋体" w:asciiTheme="minorEastAsia" w:hAnsiTheme="minorEastAsia" w:eastAsiaTheme="minorEastAsia"/>
          <w:color w:val="000000"/>
          <w:spacing w:val="0"/>
          <w:kern w:val="2"/>
          <w:szCs w:val="21"/>
          <w:highlight w:val="none"/>
        </w:rPr>
        <w:t>上河湾收费站</w:t>
      </w:r>
      <w:r>
        <w:rPr>
          <w:rFonts w:hint="eastAsia" w:cs="宋体" w:asciiTheme="minorEastAsia" w:hAnsiTheme="minorEastAsia" w:eastAsiaTheme="minorEastAsia"/>
          <w:color w:val="000000"/>
          <w:spacing w:val="0"/>
          <w:kern w:val="2"/>
          <w:szCs w:val="21"/>
          <w:highlight w:val="none"/>
        </w:rPr>
        <w:t>，</w:t>
      </w:r>
      <w:r>
        <w:rPr>
          <w:rFonts w:cs="宋体" w:asciiTheme="minorEastAsia" w:hAnsiTheme="minorEastAsia" w:eastAsiaTheme="minorEastAsia"/>
          <w:color w:val="000000"/>
          <w:spacing w:val="0"/>
          <w:kern w:val="2"/>
          <w:szCs w:val="21"/>
          <w:highlight w:val="none"/>
        </w:rPr>
        <w:t>朝阳收费站</w:t>
      </w:r>
      <w:r>
        <w:rPr>
          <w:rFonts w:hint="eastAsia" w:cs="宋体" w:asciiTheme="minorEastAsia" w:hAnsiTheme="minorEastAsia" w:eastAsiaTheme="minorEastAsia"/>
          <w:color w:val="000000"/>
          <w:spacing w:val="0"/>
          <w:kern w:val="2"/>
          <w:szCs w:val="21"/>
          <w:highlight w:val="none"/>
        </w:rPr>
        <w:t>，</w:t>
      </w:r>
      <w:r>
        <w:rPr>
          <w:rFonts w:cs="宋体" w:asciiTheme="minorEastAsia" w:hAnsiTheme="minorEastAsia" w:eastAsiaTheme="minorEastAsia"/>
          <w:color w:val="000000"/>
          <w:spacing w:val="0"/>
          <w:kern w:val="2"/>
          <w:szCs w:val="21"/>
          <w:highlight w:val="none"/>
        </w:rPr>
        <w:t>秀水停车区</w:t>
      </w:r>
      <w:r>
        <w:rPr>
          <w:rFonts w:hint="eastAsia" w:cs="宋体" w:asciiTheme="minorEastAsia" w:hAnsiTheme="minorEastAsia" w:eastAsiaTheme="minorEastAsia"/>
          <w:color w:val="000000"/>
          <w:spacing w:val="0"/>
          <w:kern w:val="2"/>
          <w:szCs w:val="21"/>
          <w:highlight w:val="none"/>
        </w:rPr>
        <w:t>，</w:t>
      </w:r>
      <w:r>
        <w:rPr>
          <w:rFonts w:cs="宋体" w:asciiTheme="minorEastAsia" w:hAnsiTheme="minorEastAsia" w:eastAsiaTheme="minorEastAsia"/>
          <w:color w:val="000000"/>
          <w:spacing w:val="0"/>
          <w:kern w:val="2"/>
          <w:szCs w:val="21"/>
          <w:highlight w:val="none"/>
        </w:rPr>
        <w:t>秀水收费站</w:t>
      </w:r>
      <w:r>
        <w:rPr>
          <w:rFonts w:hint="eastAsia" w:cs="宋体" w:asciiTheme="minorEastAsia" w:hAnsiTheme="minorEastAsia" w:eastAsiaTheme="minorEastAsia"/>
          <w:color w:val="000000"/>
          <w:spacing w:val="0"/>
          <w:kern w:val="2"/>
          <w:szCs w:val="21"/>
          <w:highlight w:val="none"/>
        </w:rPr>
        <w:t>，</w:t>
      </w:r>
      <w:r>
        <w:rPr>
          <w:rFonts w:cs="宋体" w:asciiTheme="minorEastAsia" w:hAnsiTheme="minorEastAsia" w:eastAsiaTheme="minorEastAsia"/>
          <w:color w:val="000000"/>
          <w:spacing w:val="0"/>
          <w:kern w:val="2"/>
          <w:szCs w:val="21"/>
          <w:highlight w:val="none"/>
        </w:rPr>
        <w:t>榆树服务区</w:t>
      </w:r>
      <w:r>
        <w:rPr>
          <w:rFonts w:hint="eastAsia" w:cs="宋体" w:asciiTheme="minorEastAsia" w:hAnsiTheme="minorEastAsia" w:eastAsiaTheme="minorEastAsia"/>
          <w:color w:val="000000"/>
          <w:spacing w:val="0"/>
          <w:kern w:val="2"/>
          <w:szCs w:val="21"/>
          <w:highlight w:val="none"/>
        </w:rPr>
        <w:t>，</w:t>
      </w:r>
      <w:r>
        <w:rPr>
          <w:rFonts w:cs="宋体" w:asciiTheme="minorEastAsia" w:hAnsiTheme="minorEastAsia" w:eastAsiaTheme="minorEastAsia"/>
          <w:color w:val="000000"/>
          <w:spacing w:val="0"/>
          <w:kern w:val="2"/>
          <w:szCs w:val="21"/>
          <w:highlight w:val="none"/>
        </w:rPr>
        <w:t>榆树西收费站</w:t>
      </w:r>
      <w:r>
        <w:rPr>
          <w:rFonts w:hint="eastAsia" w:cs="宋体" w:asciiTheme="minorEastAsia" w:hAnsiTheme="minorEastAsia" w:eastAsiaTheme="minorEastAsia"/>
          <w:color w:val="000000"/>
          <w:spacing w:val="0"/>
          <w:kern w:val="2"/>
          <w:szCs w:val="21"/>
          <w:highlight w:val="none"/>
        </w:rPr>
        <w:t>，</w:t>
      </w:r>
      <w:r>
        <w:rPr>
          <w:rFonts w:cs="宋体" w:asciiTheme="minorEastAsia" w:hAnsiTheme="minorEastAsia" w:eastAsiaTheme="minorEastAsia"/>
          <w:color w:val="000000"/>
          <w:spacing w:val="0"/>
          <w:kern w:val="2"/>
          <w:szCs w:val="21"/>
          <w:highlight w:val="none"/>
        </w:rPr>
        <w:t>万隆枢纽互通。</w:t>
      </w:r>
    </w:p>
    <w:p w14:paraId="461CC76F">
      <w:pPr>
        <w:pStyle w:val="231"/>
        <w:keepNext w:val="0"/>
        <w:keepLines w:val="0"/>
        <w:pageBreakBefore w:val="0"/>
        <w:kinsoku/>
        <w:wordWrap/>
        <w:overflowPunct/>
        <w:topLinePunct w:val="0"/>
        <w:bidi w:val="0"/>
        <w:snapToGrid w:val="0"/>
        <w:spacing w:line="360" w:lineRule="auto"/>
        <w:ind w:firstLine="460" w:firstLineChars="200"/>
        <w:rPr>
          <w:rFonts w:hint="eastAsia" w:ascii="黑体" w:hAnsi="黑体" w:eastAsia="黑体"/>
          <w:szCs w:val="21"/>
          <w:highlight w:val="none"/>
        </w:rPr>
      </w:pPr>
      <w:r>
        <w:rPr>
          <w:rFonts w:hint="eastAsia" w:ascii="黑体" w:hAnsi="黑体" w:eastAsia="黑体"/>
          <w:szCs w:val="21"/>
          <w:highlight w:val="none"/>
        </w:rPr>
        <w:t>2.</w:t>
      </w:r>
      <w:r>
        <w:rPr>
          <w:rFonts w:ascii="黑体" w:hAnsi="黑体" w:eastAsia="黑体"/>
          <w:szCs w:val="21"/>
          <w:highlight w:val="none"/>
        </w:rPr>
        <w:t>2计划工期</w:t>
      </w:r>
      <w:r>
        <w:rPr>
          <w:rFonts w:hint="eastAsia" w:ascii="黑体" w:hAnsi="黑体" w:eastAsia="黑体"/>
          <w:szCs w:val="21"/>
          <w:highlight w:val="none"/>
        </w:rPr>
        <w:t>：</w:t>
      </w:r>
      <w:r>
        <w:rPr>
          <w:rFonts w:hint="eastAsia" w:ascii="黑体" w:hAnsi="黑体" w:eastAsia="黑体" w:cs="宋体"/>
          <w:szCs w:val="21"/>
          <w:highlight w:val="none"/>
        </w:rPr>
        <w:t>2026年12月1日～2027年8月31日，</w:t>
      </w:r>
      <w:r>
        <w:rPr>
          <w:rFonts w:ascii="黑体" w:hAnsi="黑体" w:eastAsia="黑体" w:cs="宋体"/>
          <w:szCs w:val="21"/>
          <w:highlight w:val="none"/>
        </w:rPr>
        <w:t>273日历天</w:t>
      </w:r>
      <w:r>
        <w:rPr>
          <w:rFonts w:hint="eastAsia" w:hAnsi="宋体" w:cs="宋体"/>
          <w:szCs w:val="21"/>
          <w:highlight w:val="none"/>
        </w:rPr>
        <w:t>。</w:t>
      </w:r>
    </w:p>
    <w:p w14:paraId="1B01D8EE">
      <w:pPr>
        <w:keepNext w:val="0"/>
        <w:keepLines w:val="0"/>
        <w:pageBreakBefore w:val="0"/>
        <w:kinsoku/>
        <w:wordWrap/>
        <w:overflowPunct/>
        <w:topLinePunct w:val="0"/>
        <w:bidi w:val="0"/>
        <w:snapToGrid w:val="0"/>
        <w:spacing w:line="360" w:lineRule="auto"/>
        <w:ind w:firstLine="420" w:firstLineChars="200"/>
        <w:rPr>
          <w:rFonts w:hint="eastAsia" w:ascii="黑体" w:hAnsi="黑体" w:eastAsia="黑体"/>
          <w:szCs w:val="21"/>
          <w:highlight w:val="none"/>
        </w:rPr>
      </w:pPr>
      <w:r>
        <w:rPr>
          <w:rFonts w:hint="eastAsia" w:ascii="黑体" w:hAnsi="黑体" w:eastAsia="黑体"/>
          <w:szCs w:val="21"/>
          <w:highlight w:val="none"/>
        </w:rPr>
        <w:t>2.</w:t>
      </w:r>
      <w:r>
        <w:rPr>
          <w:rFonts w:ascii="黑体" w:hAnsi="黑体" w:eastAsia="黑体"/>
          <w:szCs w:val="21"/>
          <w:highlight w:val="none"/>
        </w:rPr>
        <w:t>3</w:t>
      </w:r>
      <w:r>
        <w:rPr>
          <w:rFonts w:hint="eastAsia" w:ascii="黑体" w:hAnsi="黑体" w:eastAsia="黑体"/>
          <w:szCs w:val="21"/>
          <w:highlight w:val="none"/>
        </w:rPr>
        <w:t>标段划分、建设地点及</w:t>
      </w:r>
      <w:r>
        <w:rPr>
          <w:rFonts w:ascii="黑体" w:hAnsi="黑体" w:eastAsia="黑体"/>
          <w:szCs w:val="21"/>
          <w:highlight w:val="none"/>
        </w:rPr>
        <w:t>招标范围</w:t>
      </w:r>
    </w:p>
    <w:p w14:paraId="30EBEA2B">
      <w:pPr>
        <w:keepNext w:val="0"/>
        <w:keepLines w:val="0"/>
        <w:pageBreakBefore w:val="0"/>
        <w:kinsoku/>
        <w:wordWrap/>
        <w:overflowPunct/>
        <w:topLinePunct w:val="0"/>
        <w:bidi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全线划分为</w:t>
      </w:r>
      <w:r>
        <w:rPr>
          <w:rFonts w:ascii="宋体" w:hAnsi="宋体"/>
          <w:szCs w:val="21"/>
          <w:highlight w:val="none"/>
        </w:rPr>
        <w:t>1</w:t>
      </w:r>
      <w:r>
        <w:rPr>
          <w:rFonts w:hint="eastAsia" w:ascii="宋体" w:hAnsi="宋体"/>
          <w:szCs w:val="21"/>
          <w:highlight w:val="none"/>
        </w:rPr>
        <w:t>个标段，</w:t>
      </w:r>
      <w:bookmarkStart w:id="5" w:name="OLE_LINK2"/>
      <w:r>
        <w:rPr>
          <w:rFonts w:hint="eastAsia" w:ascii="宋体" w:hAnsi="宋体"/>
          <w:szCs w:val="21"/>
          <w:highlight w:val="none"/>
        </w:rPr>
        <w:t>具体标段划分、建设地点及招标范围如下：</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37"/>
        <w:gridCol w:w="636"/>
        <w:gridCol w:w="741"/>
        <w:gridCol w:w="2267"/>
        <w:gridCol w:w="2127"/>
        <w:gridCol w:w="3287"/>
      </w:tblGrid>
      <w:tr w14:paraId="3D6EC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9" w:type="pct"/>
            <w:vAlign w:val="center"/>
          </w:tcPr>
          <w:p w14:paraId="658346F0">
            <w:pPr>
              <w:keepNext w:val="0"/>
              <w:keepLines w:val="0"/>
              <w:pageBreakBefore w:val="0"/>
              <w:kinsoku/>
              <w:wordWrap/>
              <w:overflowPunct/>
              <w:topLinePunct w:val="0"/>
              <w:bidi w:val="0"/>
              <w:snapToGrid w:val="0"/>
              <w:spacing w:line="360" w:lineRule="auto"/>
              <w:jc w:val="center"/>
              <w:rPr>
                <w:rFonts w:hint="eastAsia" w:ascii="宋体" w:hAnsi="宋体" w:cs="宋体"/>
                <w:kern w:val="0"/>
                <w:szCs w:val="21"/>
                <w:highlight w:val="none"/>
              </w:rPr>
            </w:pPr>
            <w:r>
              <w:rPr>
                <w:rFonts w:hint="eastAsia" w:ascii="宋体" w:hAnsi="宋体" w:cs="宋体"/>
                <w:kern w:val="0"/>
                <w:szCs w:val="21"/>
                <w:highlight w:val="none"/>
              </w:rPr>
              <w:t>标段</w:t>
            </w:r>
          </w:p>
        </w:tc>
        <w:tc>
          <w:tcPr>
            <w:tcW w:w="328" w:type="pct"/>
            <w:vAlign w:val="center"/>
          </w:tcPr>
          <w:p w14:paraId="784564CA">
            <w:pPr>
              <w:keepNext w:val="0"/>
              <w:keepLines w:val="0"/>
              <w:pageBreakBefore w:val="0"/>
              <w:kinsoku/>
              <w:wordWrap/>
              <w:overflowPunct/>
              <w:topLinePunct w:val="0"/>
              <w:bidi w:val="0"/>
              <w:snapToGrid w:val="0"/>
              <w:spacing w:line="360" w:lineRule="auto"/>
              <w:jc w:val="center"/>
              <w:rPr>
                <w:rFonts w:hint="eastAsia" w:ascii="宋体" w:hAnsi="宋体" w:cs="宋体"/>
                <w:kern w:val="0"/>
                <w:szCs w:val="21"/>
                <w:highlight w:val="none"/>
              </w:rPr>
            </w:pPr>
            <w:r>
              <w:rPr>
                <w:rFonts w:hint="eastAsia" w:ascii="宋体" w:hAnsi="宋体" w:cs="宋体"/>
                <w:kern w:val="0"/>
                <w:szCs w:val="21"/>
                <w:highlight w:val="none"/>
              </w:rPr>
              <w:t>类别</w:t>
            </w:r>
          </w:p>
        </w:tc>
        <w:tc>
          <w:tcPr>
            <w:tcW w:w="382" w:type="pct"/>
            <w:vAlign w:val="center"/>
          </w:tcPr>
          <w:p w14:paraId="12FC9288">
            <w:pPr>
              <w:keepNext w:val="0"/>
              <w:keepLines w:val="0"/>
              <w:pageBreakBefore w:val="0"/>
              <w:kinsoku/>
              <w:wordWrap/>
              <w:overflowPunct/>
              <w:topLinePunct w:val="0"/>
              <w:bidi w:val="0"/>
              <w:snapToGrid w:val="0"/>
              <w:spacing w:line="360" w:lineRule="auto"/>
              <w:jc w:val="center"/>
              <w:rPr>
                <w:rFonts w:hint="eastAsia" w:ascii="宋体" w:hAnsi="宋体" w:cs="宋体"/>
                <w:kern w:val="0"/>
                <w:szCs w:val="21"/>
                <w:highlight w:val="none"/>
              </w:rPr>
            </w:pPr>
            <w:r>
              <w:rPr>
                <w:rFonts w:hint="eastAsia" w:ascii="宋体" w:hAnsi="宋体" w:cs="宋体"/>
                <w:kern w:val="0"/>
                <w:szCs w:val="21"/>
                <w:highlight w:val="none"/>
              </w:rPr>
              <w:t>设计段</w:t>
            </w:r>
          </w:p>
        </w:tc>
        <w:tc>
          <w:tcPr>
            <w:tcW w:w="1169" w:type="pct"/>
            <w:vAlign w:val="center"/>
          </w:tcPr>
          <w:p w14:paraId="1938800A">
            <w:pPr>
              <w:keepNext w:val="0"/>
              <w:keepLines w:val="0"/>
              <w:pageBreakBefore w:val="0"/>
              <w:kinsoku/>
              <w:wordWrap/>
              <w:overflowPunct/>
              <w:topLinePunct w:val="0"/>
              <w:bidi w:val="0"/>
              <w:snapToGrid w:val="0"/>
              <w:spacing w:line="360" w:lineRule="auto"/>
              <w:jc w:val="center"/>
              <w:rPr>
                <w:rFonts w:hint="eastAsia" w:ascii="宋体" w:hAnsi="宋体" w:cs="宋体"/>
                <w:kern w:val="0"/>
                <w:szCs w:val="21"/>
                <w:highlight w:val="none"/>
              </w:rPr>
            </w:pPr>
            <w:r>
              <w:rPr>
                <w:rFonts w:hint="eastAsia" w:ascii="宋体" w:hAnsi="宋体" w:cs="宋体"/>
                <w:kern w:val="0"/>
                <w:szCs w:val="21"/>
                <w:highlight w:val="none"/>
              </w:rPr>
              <w:t>施工段落</w:t>
            </w:r>
          </w:p>
        </w:tc>
        <w:tc>
          <w:tcPr>
            <w:tcW w:w="1097" w:type="pct"/>
          </w:tcPr>
          <w:p w14:paraId="2794AD6A">
            <w:pPr>
              <w:keepNext w:val="0"/>
              <w:keepLines w:val="0"/>
              <w:pageBreakBefore w:val="0"/>
              <w:kinsoku/>
              <w:wordWrap/>
              <w:overflowPunct/>
              <w:topLinePunct w:val="0"/>
              <w:bidi w:val="0"/>
              <w:snapToGrid w:val="0"/>
              <w:spacing w:line="360" w:lineRule="auto"/>
              <w:jc w:val="center"/>
              <w:rPr>
                <w:rFonts w:hint="eastAsia" w:ascii="宋体" w:hAnsi="宋体" w:cs="宋体"/>
                <w:kern w:val="0"/>
                <w:szCs w:val="21"/>
                <w:highlight w:val="none"/>
              </w:rPr>
            </w:pPr>
            <w:r>
              <w:rPr>
                <w:rFonts w:hint="eastAsia" w:ascii="宋体" w:hAnsi="宋体" w:cs="宋体"/>
                <w:kern w:val="0"/>
                <w:szCs w:val="21"/>
                <w:highlight w:val="none"/>
              </w:rPr>
              <w:t>建设地点</w:t>
            </w:r>
          </w:p>
          <w:p w14:paraId="0DCD94AD">
            <w:pPr>
              <w:keepNext w:val="0"/>
              <w:keepLines w:val="0"/>
              <w:pageBreakBefore w:val="0"/>
              <w:kinsoku/>
              <w:wordWrap/>
              <w:overflowPunct/>
              <w:topLinePunct w:val="0"/>
              <w:bidi w:val="0"/>
              <w:snapToGrid w:val="0"/>
              <w:spacing w:line="360" w:lineRule="auto"/>
              <w:jc w:val="center"/>
              <w:rPr>
                <w:rFonts w:hint="eastAsia" w:ascii="宋体" w:hAnsi="宋体" w:cs="宋体"/>
                <w:kern w:val="0"/>
                <w:szCs w:val="21"/>
                <w:highlight w:val="none"/>
              </w:rPr>
            </w:pPr>
            <w:r>
              <w:rPr>
                <w:rFonts w:hint="eastAsia" w:ascii="宋体" w:hAnsi="宋体" w:cs="宋体"/>
                <w:kern w:val="0"/>
                <w:szCs w:val="21"/>
                <w:highlight w:val="none"/>
              </w:rPr>
              <w:t>（吉林省）</w:t>
            </w:r>
          </w:p>
        </w:tc>
        <w:tc>
          <w:tcPr>
            <w:tcW w:w="1695" w:type="pct"/>
            <w:vAlign w:val="center"/>
          </w:tcPr>
          <w:p w14:paraId="22CD6A2B">
            <w:pPr>
              <w:keepNext w:val="0"/>
              <w:keepLines w:val="0"/>
              <w:pageBreakBefore w:val="0"/>
              <w:kinsoku/>
              <w:wordWrap/>
              <w:overflowPunct/>
              <w:topLinePunct w:val="0"/>
              <w:bidi w:val="0"/>
              <w:snapToGrid w:val="0"/>
              <w:spacing w:line="360" w:lineRule="auto"/>
              <w:jc w:val="center"/>
              <w:rPr>
                <w:rFonts w:hint="eastAsia" w:ascii="宋体" w:hAnsi="宋体" w:cs="宋体"/>
                <w:kern w:val="0"/>
                <w:szCs w:val="21"/>
                <w:highlight w:val="none"/>
              </w:rPr>
            </w:pPr>
            <w:r>
              <w:rPr>
                <w:rFonts w:hint="eastAsia" w:ascii="宋体" w:hAnsi="宋体" w:cs="宋体"/>
                <w:kern w:val="0"/>
                <w:szCs w:val="21"/>
                <w:highlight w:val="none"/>
              </w:rPr>
              <w:t>招标范围</w:t>
            </w:r>
          </w:p>
        </w:tc>
      </w:tr>
      <w:tr w14:paraId="7109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5" w:hRule="atLeast"/>
          <w:jc w:val="center"/>
        </w:trPr>
        <w:tc>
          <w:tcPr>
            <w:tcW w:w="329" w:type="pct"/>
            <w:vMerge w:val="restart"/>
            <w:tcBorders>
              <w:left w:val="single" w:color="auto" w:sz="4" w:space="0"/>
              <w:right w:val="single" w:color="auto" w:sz="4" w:space="0"/>
            </w:tcBorders>
            <w:vAlign w:val="center"/>
          </w:tcPr>
          <w:p w14:paraId="5E8ADC83">
            <w:pPr>
              <w:keepNext w:val="0"/>
              <w:keepLines w:val="0"/>
              <w:pageBreakBefore w:val="0"/>
              <w:widowControl/>
              <w:kinsoku/>
              <w:wordWrap/>
              <w:overflowPunct/>
              <w:topLinePunct w:val="0"/>
              <w:bidi w:val="0"/>
              <w:snapToGrid w:val="0"/>
              <w:spacing w:line="360" w:lineRule="auto"/>
              <w:jc w:val="center"/>
              <w:rPr>
                <w:rFonts w:hint="eastAsia" w:ascii="宋体" w:hAnsi="宋体" w:cs="宋体"/>
                <w:kern w:val="0"/>
                <w:szCs w:val="21"/>
                <w:highlight w:val="none"/>
              </w:rPr>
            </w:pPr>
            <w:r>
              <w:rPr>
                <w:rFonts w:ascii="宋体" w:hAnsi="宋体" w:cs="宋体"/>
                <w:kern w:val="0"/>
                <w:szCs w:val="21"/>
                <w:highlight w:val="none"/>
              </w:rPr>
              <w:t>WD01</w:t>
            </w:r>
          </w:p>
        </w:tc>
        <w:tc>
          <w:tcPr>
            <w:tcW w:w="328" w:type="pct"/>
            <w:vMerge w:val="restart"/>
            <w:tcBorders>
              <w:left w:val="single" w:color="auto" w:sz="4" w:space="0"/>
              <w:right w:val="single" w:color="auto" w:sz="4" w:space="0"/>
            </w:tcBorders>
            <w:vAlign w:val="center"/>
          </w:tcPr>
          <w:p w14:paraId="103A790A">
            <w:pPr>
              <w:keepNext w:val="0"/>
              <w:keepLines w:val="0"/>
              <w:pageBreakBefore w:val="0"/>
              <w:kinsoku/>
              <w:wordWrap/>
              <w:overflowPunct/>
              <w:topLinePunct w:val="0"/>
              <w:bidi w:val="0"/>
              <w:snapToGrid w:val="0"/>
              <w:spacing w:line="360" w:lineRule="auto"/>
              <w:jc w:val="center"/>
              <w:rPr>
                <w:rFonts w:hint="eastAsia" w:ascii="宋体" w:hAnsi="宋体"/>
                <w:kern w:val="0"/>
                <w:szCs w:val="21"/>
                <w:highlight w:val="none"/>
              </w:rPr>
            </w:pPr>
            <w:r>
              <w:rPr>
                <w:rFonts w:hint="eastAsia" w:ascii="宋体" w:hAnsi="宋体"/>
                <w:kern w:val="0"/>
                <w:szCs w:val="21"/>
                <w:highlight w:val="none"/>
              </w:rPr>
              <w:t>电力</w:t>
            </w:r>
          </w:p>
        </w:tc>
        <w:tc>
          <w:tcPr>
            <w:tcW w:w="382" w:type="pct"/>
            <w:vAlign w:val="center"/>
          </w:tcPr>
          <w:p w14:paraId="302094CC">
            <w:pPr>
              <w:keepNext w:val="0"/>
              <w:keepLines w:val="0"/>
              <w:pageBreakBefore w:val="0"/>
              <w:widowControl/>
              <w:kinsoku/>
              <w:wordWrap/>
              <w:overflowPunct/>
              <w:topLinePunct w:val="0"/>
              <w:bidi w:val="0"/>
              <w:snapToGrid w:val="0"/>
              <w:spacing w:line="360" w:lineRule="auto"/>
              <w:jc w:val="center"/>
              <w:rPr>
                <w:rFonts w:hint="eastAsia" w:ascii="宋体" w:hAnsi="宋体"/>
                <w:szCs w:val="21"/>
                <w:highlight w:val="none"/>
              </w:rPr>
            </w:pPr>
            <w:r>
              <w:rPr>
                <w:rFonts w:hint="eastAsia" w:ascii="宋体" w:hAnsi="宋体"/>
                <w:szCs w:val="21"/>
                <w:highlight w:val="none"/>
              </w:rPr>
              <w:t>A</w:t>
            </w:r>
          </w:p>
        </w:tc>
        <w:tc>
          <w:tcPr>
            <w:tcW w:w="1169" w:type="pct"/>
            <w:tcBorders>
              <w:top w:val="single" w:color="auto" w:sz="4" w:space="0"/>
              <w:left w:val="single" w:color="auto" w:sz="4" w:space="0"/>
              <w:bottom w:val="single" w:color="auto" w:sz="4" w:space="0"/>
              <w:right w:val="single" w:color="auto" w:sz="4" w:space="0"/>
            </w:tcBorders>
            <w:vAlign w:val="center"/>
          </w:tcPr>
          <w:p w14:paraId="7EE8173E">
            <w:pPr>
              <w:keepNext w:val="0"/>
              <w:keepLines w:val="0"/>
              <w:pageBreakBefore w:val="0"/>
              <w:widowControl/>
              <w:kinsoku/>
              <w:wordWrap/>
              <w:overflowPunct/>
              <w:topLinePunct w:val="0"/>
              <w:bidi w:val="0"/>
              <w:snapToGrid w:val="0"/>
              <w:spacing w:line="360" w:lineRule="auto"/>
              <w:jc w:val="center"/>
              <w:rPr>
                <w:rFonts w:hint="eastAsia" w:ascii="宋体" w:hAnsi="宋体"/>
                <w:szCs w:val="21"/>
                <w:highlight w:val="none"/>
              </w:rPr>
            </w:pPr>
            <w:r>
              <w:rPr>
                <w:rFonts w:hint="eastAsia" w:ascii="宋体" w:hAnsi="宋体"/>
                <w:szCs w:val="21"/>
                <w:highlight w:val="none"/>
              </w:rPr>
              <w:t xml:space="preserve">长春至九台段 </w:t>
            </w:r>
          </w:p>
          <w:p w14:paraId="3DC12C8C">
            <w:pPr>
              <w:keepNext w:val="0"/>
              <w:keepLines w:val="0"/>
              <w:pageBreakBefore w:val="0"/>
              <w:widowControl/>
              <w:kinsoku/>
              <w:wordWrap/>
              <w:overflowPunct/>
              <w:topLinePunct w:val="0"/>
              <w:bidi w:val="0"/>
              <w:snapToGrid w:val="0"/>
              <w:spacing w:line="360" w:lineRule="auto"/>
              <w:jc w:val="center"/>
              <w:rPr>
                <w:rFonts w:hint="eastAsia" w:ascii="宋体" w:hAnsi="宋体"/>
                <w:color w:val="000000"/>
                <w:kern w:val="0"/>
                <w:sz w:val="24"/>
                <w:highlight w:val="none"/>
              </w:rPr>
            </w:pPr>
            <w:r>
              <w:rPr>
                <w:rFonts w:hint="eastAsia" w:ascii="宋体" w:hAnsi="宋体"/>
                <w:szCs w:val="21"/>
                <w:highlight w:val="none"/>
              </w:rPr>
              <w:t xml:space="preserve"> K0+000</w:t>
            </w:r>
            <w:r>
              <w:rPr>
                <w:rFonts w:hint="eastAsia" w:ascii="宋体" w:hAnsi="宋体" w:cs="宋体"/>
                <w:color w:val="000000"/>
                <w:szCs w:val="21"/>
                <w:highlight w:val="none"/>
                <w:lang w:val="zh-CN"/>
              </w:rPr>
              <w:t>～</w:t>
            </w:r>
            <w:r>
              <w:rPr>
                <w:rFonts w:hint="eastAsia" w:ascii="宋体" w:hAnsi="宋体"/>
                <w:szCs w:val="21"/>
                <w:highlight w:val="none"/>
              </w:rPr>
              <w:t>K66+500</w:t>
            </w:r>
          </w:p>
        </w:tc>
        <w:tc>
          <w:tcPr>
            <w:tcW w:w="1097" w:type="pct"/>
            <w:tcBorders>
              <w:left w:val="single" w:color="auto" w:sz="4" w:space="0"/>
              <w:right w:val="single" w:color="auto" w:sz="4" w:space="0"/>
            </w:tcBorders>
            <w:vAlign w:val="center"/>
          </w:tcPr>
          <w:p w14:paraId="7805E8DA">
            <w:pPr>
              <w:keepNext w:val="0"/>
              <w:keepLines w:val="0"/>
              <w:pageBreakBefore w:val="0"/>
              <w:kinsoku/>
              <w:wordWrap/>
              <w:overflowPunct/>
              <w:topLinePunct w:val="0"/>
              <w:bidi w:val="0"/>
              <w:snapToGrid w:val="0"/>
              <w:spacing w:line="360" w:lineRule="auto"/>
              <w:jc w:val="center"/>
              <w:rPr>
                <w:rFonts w:hint="eastAsia" w:ascii="宋体" w:hAnsi="宋体" w:cs="宋体"/>
                <w:kern w:val="0"/>
                <w:szCs w:val="21"/>
                <w:highlight w:val="none"/>
              </w:rPr>
            </w:pPr>
            <w:r>
              <w:rPr>
                <w:rFonts w:hint="eastAsia" w:ascii="宋体" w:hAnsi="宋体" w:cs="宋体"/>
                <w:kern w:val="0"/>
                <w:szCs w:val="21"/>
                <w:highlight w:val="none"/>
              </w:rPr>
              <w:t>长春市（经开区、九台区）</w:t>
            </w:r>
          </w:p>
        </w:tc>
        <w:tc>
          <w:tcPr>
            <w:tcW w:w="1695" w:type="pct"/>
            <w:vMerge w:val="restart"/>
            <w:tcBorders>
              <w:left w:val="single" w:color="auto" w:sz="4" w:space="0"/>
              <w:right w:val="single" w:color="auto" w:sz="4" w:space="0"/>
            </w:tcBorders>
            <w:vAlign w:val="center"/>
          </w:tcPr>
          <w:p w14:paraId="15C2E64A">
            <w:pPr>
              <w:keepNext w:val="0"/>
              <w:keepLines w:val="0"/>
              <w:pageBreakBefore w:val="0"/>
              <w:kinsoku/>
              <w:wordWrap/>
              <w:overflowPunct/>
              <w:topLinePunct w:val="0"/>
              <w:bidi w:val="0"/>
              <w:snapToGrid w:val="0"/>
              <w:spacing w:line="360" w:lineRule="auto"/>
              <w:rPr>
                <w:rFonts w:asciiTheme="minorHAnsi" w:hAnsiTheme="minorHAnsi" w:eastAsiaTheme="minorEastAsia" w:cstheme="minorHAnsi"/>
                <w:szCs w:val="21"/>
                <w:highlight w:val="none"/>
              </w:rPr>
            </w:pPr>
            <w:r>
              <w:rPr>
                <w:rFonts w:asciiTheme="majorEastAsia" w:hAnsiTheme="majorEastAsia" w:eastAsiaTheme="majorEastAsia" w:cstheme="minorHAnsi"/>
                <w:szCs w:val="21"/>
                <w:highlight w:val="none"/>
              </w:rPr>
              <w:t>本</w:t>
            </w:r>
            <w:r>
              <w:rPr>
                <w:rFonts w:asciiTheme="minorEastAsia" w:hAnsiTheme="minorEastAsia" w:eastAsiaTheme="minorEastAsia" w:cstheme="minorHAnsi"/>
                <w:szCs w:val="21"/>
                <w:highlight w:val="none"/>
              </w:rPr>
              <w:t>项目10KV外电引入施工涉及的全部工程，包括但不限</w:t>
            </w:r>
            <w:r>
              <w:rPr>
                <w:rFonts w:asciiTheme="majorEastAsia" w:hAnsiTheme="majorEastAsia" w:eastAsiaTheme="majorEastAsia" w:cstheme="minorHAnsi"/>
                <w:szCs w:val="21"/>
                <w:highlight w:val="none"/>
              </w:rPr>
              <w:t>于：</w:t>
            </w:r>
            <w:r>
              <w:rPr>
                <w:rFonts w:ascii="黑体" w:hAnsi="黑体" w:eastAsia="黑体" w:cstheme="minorHAnsi"/>
                <w:szCs w:val="21"/>
                <w:highlight w:val="none"/>
              </w:rPr>
              <w:t>临时工程，临时占地、</w:t>
            </w:r>
            <w:r>
              <w:rPr>
                <w:rFonts w:hint="eastAsia" w:ascii="黑体" w:hAnsi="黑体" w:eastAsia="黑体" w:cstheme="minorHAnsi"/>
                <w:szCs w:val="21"/>
                <w:highlight w:val="none"/>
              </w:rPr>
              <w:t>永久占地、</w:t>
            </w:r>
            <w:r>
              <w:rPr>
                <w:rFonts w:ascii="黑体" w:hAnsi="黑体" w:eastAsia="黑体" w:cstheme="minorHAnsi"/>
                <w:szCs w:val="21"/>
                <w:highlight w:val="none"/>
              </w:rPr>
              <w:t>10KV外电引入及其配套设备的施工和安装</w:t>
            </w:r>
            <w:r>
              <w:rPr>
                <w:rFonts w:asciiTheme="majorEastAsia" w:hAnsiTheme="majorEastAsia" w:eastAsiaTheme="majorEastAsia" w:cstheme="minorHAnsi"/>
                <w:szCs w:val="21"/>
                <w:highlight w:val="none"/>
              </w:rPr>
              <w:t>，线路属地专项验收配合、线路调试及试运行，相关交接手续办理等工作，以及施工图纸和工程量清单所包含的全部内容。</w:t>
            </w:r>
          </w:p>
        </w:tc>
      </w:tr>
      <w:tr w14:paraId="6B0B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77" w:hRule="atLeast"/>
          <w:jc w:val="center"/>
        </w:trPr>
        <w:tc>
          <w:tcPr>
            <w:tcW w:w="329" w:type="pct"/>
            <w:vMerge w:val="continue"/>
            <w:tcBorders>
              <w:left w:val="single" w:color="000000" w:sz="4" w:space="0"/>
              <w:right w:val="single" w:color="000000" w:sz="4" w:space="0"/>
            </w:tcBorders>
            <w:vAlign w:val="center"/>
          </w:tcPr>
          <w:p w14:paraId="0E8F9319">
            <w:pPr>
              <w:keepNext w:val="0"/>
              <w:keepLines w:val="0"/>
              <w:pageBreakBefore w:val="0"/>
              <w:widowControl/>
              <w:kinsoku/>
              <w:wordWrap/>
              <w:overflowPunct/>
              <w:topLinePunct w:val="0"/>
              <w:bidi w:val="0"/>
              <w:snapToGrid w:val="0"/>
              <w:spacing w:line="360" w:lineRule="auto"/>
              <w:jc w:val="center"/>
              <w:rPr>
                <w:rFonts w:hint="eastAsia" w:ascii="宋体" w:hAnsi="宋体" w:cs="宋体"/>
                <w:kern w:val="0"/>
                <w:szCs w:val="21"/>
                <w:highlight w:val="none"/>
              </w:rPr>
            </w:pPr>
          </w:p>
        </w:tc>
        <w:tc>
          <w:tcPr>
            <w:tcW w:w="328" w:type="pct"/>
            <w:vMerge w:val="continue"/>
            <w:tcBorders>
              <w:left w:val="single" w:color="000000" w:sz="4" w:space="0"/>
              <w:right w:val="single" w:color="000000" w:sz="4" w:space="0"/>
            </w:tcBorders>
            <w:vAlign w:val="center"/>
          </w:tcPr>
          <w:p w14:paraId="350AD942">
            <w:pPr>
              <w:keepNext w:val="0"/>
              <w:keepLines w:val="0"/>
              <w:pageBreakBefore w:val="0"/>
              <w:widowControl/>
              <w:kinsoku/>
              <w:wordWrap/>
              <w:overflowPunct/>
              <w:topLinePunct w:val="0"/>
              <w:bidi w:val="0"/>
              <w:snapToGrid w:val="0"/>
              <w:spacing w:line="360" w:lineRule="auto"/>
              <w:jc w:val="center"/>
              <w:rPr>
                <w:rFonts w:hint="eastAsia" w:ascii="宋体" w:hAnsi="宋体"/>
                <w:kern w:val="0"/>
                <w:szCs w:val="21"/>
                <w:highlight w:val="none"/>
              </w:rPr>
            </w:pPr>
          </w:p>
        </w:tc>
        <w:tc>
          <w:tcPr>
            <w:tcW w:w="382" w:type="pct"/>
            <w:vAlign w:val="center"/>
          </w:tcPr>
          <w:p w14:paraId="2C612998">
            <w:pPr>
              <w:keepNext w:val="0"/>
              <w:keepLines w:val="0"/>
              <w:pageBreakBefore w:val="0"/>
              <w:widowControl/>
              <w:kinsoku/>
              <w:wordWrap/>
              <w:overflowPunct/>
              <w:topLinePunct w:val="0"/>
              <w:bidi w:val="0"/>
              <w:snapToGrid w:val="0"/>
              <w:spacing w:line="360" w:lineRule="auto"/>
              <w:jc w:val="center"/>
              <w:rPr>
                <w:rFonts w:hint="eastAsia" w:ascii="宋体" w:hAnsi="宋体"/>
                <w:szCs w:val="21"/>
                <w:highlight w:val="none"/>
              </w:rPr>
            </w:pPr>
            <w:r>
              <w:rPr>
                <w:rFonts w:hint="eastAsia" w:ascii="宋体" w:hAnsi="宋体"/>
                <w:szCs w:val="21"/>
                <w:highlight w:val="none"/>
              </w:rPr>
              <w:t>B</w:t>
            </w:r>
          </w:p>
        </w:tc>
        <w:tc>
          <w:tcPr>
            <w:tcW w:w="1169" w:type="pct"/>
            <w:tcBorders>
              <w:top w:val="single" w:color="auto" w:sz="4" w:space="0"/>
              <w:left w:val="single" w:color="000000" w:sz="4" w:space="0"/>
              <w:bottom w:val="single" w:color="auto" w:sz="4" w:space="0"/>
              <w:right w:val="single" w:color="000000" w:sz="4" w:space="0"/>
            </w:tcBorders>
            <w:vAlign w:val="center"/>
          </w:tcPr>
          <w:p w14:paraId="63678F6D">
            <w:pPr>
              <w:keepNext w:val="0"/>
              <w:keepLines w:val="0"/>
              <w:pageBreakBefore w:val="0"/>
              <w:widowControl/>
              <w:kinsoku/>
              <w:wordWrap/>
              <w:overflowPunct/>
              <w:topLinePunct w:val="0"/>
              <w:bidi w:val="0"/>
              <w:snapToGrid w:val="0"/>
              <w:spacing w:line="360" w:lineRule="auto"/>
              <w:jc w:val="center"/>
              <w:rPr>
                <w:rFonts w:hint="eastAsia" w:ascii="宋体" w:hAnsi="宋体"/>
                <w:szCs w:val="21"/>
                <w:highlight w:val="none"/>
              </w:rPr>
            </w:pPr>
            <w:r>
              <w:rPr>
                <w:rFonts w:hint="eastAsia" w:ascii="宋体" w:hAnsi="宋体"/>
                <w:szCs w:val="21"/>
                <w:highlight w:val="none"/>
              </w:rPr>
              <w:t>九台至榆树段</w:t>
            </w:r>
          </w:p>
          <w:p w14:paraId="618F4996">
            <w:pPr>
              <w:keepNext w:val="0"/>
              <w:keepLines w:val="0"/>
              <w:pageBreakBefore w:val="0"/>
              <w:widowControl/>
              <w:kinsoku/>
              <w:wordWrap/>
              <w:overflowPunct/>
              <w:topLinePunct w:val="0"/>
              <w:bidi w:val="0"/>
              <w:snapToGrid w:val="0"/>
              <w:spacing w:line="360" w:lineRule="auto"/>
              <w:jc w:val="center"/>
              <w:rPr>
                <w:rFonts w:hint="eastAsia" w:ascii="宋体" w:hAnsi="宋体"/>
                <w:color w:val="000000"/>
                <w:kern w:val="0"/>
                <w:sz w:val="24"/>
                <w:highlight w:val="none"/>
              </w:rPr>
            </w:pPr>
            <w:r>
              <w:rPr>
                <w:rFonts w:hint="eastAsia" w:ascii="宋体" w:hAnsi="宋体"/>
                <w:szCs w:val="21"/>
                <w:highlight w:val="none"/>
              </w:rPr>
              <w:t>K66+500</w:t>
            </w:r>
            <w:r>
              <w:rPr>
                <w:rFonts w:hint="eastAsia" w:ascii="宋体" w:hAnsi="宋体" w:cs="宋体"/>
                <w:color w:val="000000"/>
                <w:szCs w:val="21"/>
                <w:highlight w:val="none"/>
                <w:lang w:val="zh-CN"/>
              </w:rPr>
              <w:t>～</w:t>
            </w:r>
            <w:r>
              <w:rPr>
                <w:rFonts w:hint="eastAsia" w:ascii="宋体" w:hAnsi="宋体"/>
                <w:szCs w:val="21"/>
                <w:highlight w:val="none"/>
              </w:rPr>
              <w:t>K140+024.73</w:t>
            </w:r>
          </w:p>
        </w:tc>
        <w:tc>
          <w:tcPr>
            <w:tcW w:w="1097" w:type="pct"/>
            <w:tcBorders>
              <w:left w:val="single" w:color="auto" w:sz="4" w:space="0"/>
              <w:right w:val="single" w:color="000000" w:sz="4" w:space="0"/>
            </w:tcBorders>
            <w:vAlign w:val="center"/>
          </w:tcPr>
          <w:p w14:paraId="11048DBE">
            <w:pPr>
              <w:keepNext w:val="0"/>
              <w:keepLines w:val="0"/>
              <w:pageBreakBefore w:val="0"/>
              <w:kinsoku/>
              <w:wordWrap/>
              <w:overflowPunct/>
              <w:topLinePunct w:val="0"/>
              <w:bidi w:val="0"/>
              <w:snapToGrid w:val="0"/>
              <w:spacing w:line="360" w:lineRule="auto"/>
              <w:jc w:val="center"/>
              <w:rPr>
                <w:rFonts w:hint="eastAsia" w:ascii="宋体" w:hAnsi="宋体" w:cs="宋体"/>
                <w:kern w:val="0"/>
                <w:szCs w:val="21"/>
                <w:highlight w:val="none"/>
              </w:rPr>
            </w:pPr>
            <w:r>
              <w:rPr>
                <w:rFonts w:hint="eastAsia" w:ascii="宋体" w:hAnsi="宋体" w:cs="宋体"/>
                <w:kern w:val="0"/>
                <w:szCs w:val="21"/>
                <w:highlight w:val="none"/>
              </w:rPr>
              <w:t>长春市(九台区)</w:t>
            </w:r>
          </w:p>
          <w:p w14:paraId="5106F2A8">
            <w:pPr>
              <w:keepNext w:val="0"/>
              <w:keepLines w:val="0"/>
              <w:pageBreakBefore w:val="0"/>
              <w:kinsoku/>
              <w:wordWrap/>
              <w:overflowPunct/>
              <w:topLinePunct w:val="0"/>
              <w:bidi w:val="0"/>
              <w:snapToGrid w:val="0"/>
              <w:spacing w:line="360" w:lineRule="auto"/>
              <w:jc w:val="center"/>
              <w:rPr>
                <w:rFonts w:hint="eastAsia" w:ascii="宋体" w:hAnsi="宋体" w:cs="宋体"/>
                <w:kern w:val="0"/>
                <w:szCs w:val="21"/>
                <w:highlight w:val="none"/>
              </w:rPr>
            </w:pPr>
            <w:r>
              <w:rPr>
                <w:rFonts w:hint="eastAsia" w:ascii="宋体" w:hAnsi="宋体" w:cs="宋体"/>
                <w:kern w:val="0"/>
                <w:szCs w:val="21"/>
                <w:highlight w:val="none"/>
              </w:rPr>
              <w:t>德惠市、榆树市</w:t>
            </w:r>
          </w:p>
        </w:tc>
        <w:tc>
          <w:tcPr>
            <w:tcW w:w="1695" w:type="pct"/>
            <w:vMerge w:val="continue"/>
            <w:tcBorders>
              <w:left w:val="single" w:color="000000" w:sz="4" w:space="0"/>
              <w:right w:val="single" w:color="000000" w:sz="4" w:space="0"/>
            </w:tcBorders>
            <w:vAlign w:val="center"/>
          </w:tcPr>
          <w:p w14:paraId="1297F7D7">
            <w:pPr>
              <w:keepNext w:val="0"/>
              <w:keepLines w:val="0"/>
              <w:pageBreakBefore w:val="0"/>
              <w:kinsoku/>
              <w:wordWrap/>
              <w:overflowPunct/>
              <w:topLinePunct w:val="0"/>
              <w:bidi w:val="0"/>
              <w:snapToGrid w:val="0"/>
              <w:spacing w:line="360" w:lineRule="auto"/>
              <w:rPr>
                <w:rFonts w:hint="eastAsia" w:ascii="微软雅黑" w:hAnsi="微软雅黑"/>
                <w:color w:val="222222"/>
                <w:sz w:val="28"/>
                <w:szCs w:val="28"/>
                <w:highlight w:val="none"/>
                <w:shd w:val="clear" w:color="auto" w:fill="FFFFFF"/>
              </w:rPr>
            </w:pPr>
          </w:p>
        </w:tc>
      </w:tr>
    </w:tbl>
    <w:p w14:paraId="3CEAC6CC">
      <w:pPr>
        <w:keepNext w:val="0"/>
        <w:keepLines w:val="0"/>
        <w:pageBreakBefore w:val="0"/>
        <w:kinsoku/>
        <w:wordWrap/>
        <w:overflowPunct/>
        <w:topLinePunct w:val="0"/>
        <w:bidi w:val="0"/>
        <w:snapToGrid w:val="0"/>
        <w:spacing w:line="360" w:lineRule="auto"/>
        <w:rPr>
          <w:rFonts w:ascii="黑体" w:eastAsia="黑体"/>
          <w:sz w:val="24"/>
          <w:highlight w:val="none"/>
        </w:rPr>
      </w:pPr>
      <w:r>
        <w:rPr>
          <w:rFonts w:hint="eastAsia" w:ascii="黑体" w:eastAsia="黑体"/>
          <w:sz w:val="24"/>
          <w:highlight w:val="none"/>
        </w:rPr>
        <w:t>3.投</w:t>
      </w:r>
      <w:bookmarkEnd w:id="5"/>
      <w:r>
        <w:rPr>
          <w:rFonts w:hint="eastAsia" w:ascii="黑体" w:eastAsia="黑体"/>
          <w:sz w:val="24"/>
          <w:highlight w:val="none"/>
        </w:rPr>
        <w:t>标人资格要求</w:t>
      </w:r>
    </w:p>
    <w:p w14:paraId="15D94AF7">
      <w:pPr>
        <w:keepNext w:val="0"/>
        <w:keepLines w:val="0"/>
        <w:pageBreakBefore w:val="0"/>
        <w:kinsoku/>
        <w:wordWrap/>
        <w:overflowPunct/>
        <w:topLinePunct w:val="0"/>
        <w:bidi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3.1本次招标要求投标人具有独立法人资格，同时满足以下资质、业绩、项目经理要求，并在人员、设备、资金等方面具备相应的施工能力。</w:t>
      </w:r>
    </w:p>
    <w:p w14:paraId="4C1DAAD0">
      <w:pPr>
        <w:keepNext w:val="0"/>
        <w:keepLines w:val="0"/>
        <w:pageBreakBefore w:val="0"/>
        <w:kinsoku/>
        <w:wordWrap/>
        <w:overflowPunct/>
        <w:topLinePunct w:val="0"/>
        <w:bidi w:val="0"/>
        <w:adjustRightInd w:val="0"/>
        <w:snapToGrid w:val="0"/>
        <w:spacing w:line="360" w:lineRule="auto"/>
        <w:ind w:firstLine="420" w:firstLineChars="200"/>
        <w:rPr>
          <w:rFonts w:hint="eastAsia" w:asciiTheme="majorEastAsia" w:hAnsiTheme="majorEastAsia" w:eastAsiaTheme="majorEastAsia"/>
          <w:szCs w:val="21"/>
          <w:highlight w:val="none"/>
        </w:rPr>
      </w:pPr>
      <w:bookmarkStart w:id="6" w:name="OLE_LINK4"/>
      <w:r>
        <w:rPr>
          <w:rFonts w:hint="eastAsia" w:ascii="黑体" w:hAnsi="黑体" w:eastAsia="黑体"/>
          <w:szCs w:val="21"/>
          <w:highlight w:val="none"/>
        </w:rPr>
        <w:t>（1）</w:t>
      </w:r>
      <w:r>
        <w:rPr>
          <w:rFonts w:ascii="黑体" w:hAnsi="黑体" w:eastAsia="黑体"/>
          <w:szCs w:val="21"/>
          <w:highlight w:val="none"/>
        </w:rPr>
        <w:t>资质</w:t>
      </w:r>
      <w:r>
        <w:rPr>
          <w:rFonts w:hint="eastAsia" w:ascii="黑体" w:hAnsi="黑体" w:eastAsia="黑体"/>
          <w:szCs w:val="21"/>
          <w:highlight w:val="none"/>
        </w:rPr>
        <w:t>要求</w:t>
      </w:r>
      <w:r>
        <w:rPr>
          <w:rFonts w:ascii="黑体" w:hAnsi="黑体" w:eastAsia="黑体"/>
          <w:szCs w:val="21"/>
          <w:highlight w:val="none"/>
        </w:rPr>
        <w:t>：</w:t>
      </w:r>
      <w:r>
        <w:rPr>
          <w:rFonts w:hint="eastAsia" w:asciiTheme="majorEastAsia" w:hAnsiTheme="majorEastAsia" w:eastAsiaTheme="majorEastAsia"/>
          <w:szCs w:val="21"/>
          <w:highlight w:val="none"/>
        </w:rPr>
        <w:t>具有输变电工程专业承包三级及以上资质或电力工程施工总承包三级及以上资质，同时具有承装类《承装（修、试）电力设施许可证》和《安全生产许可证》。</w:t>
      </w:r>
    </w:p>
    <w:p w14:paraId="292ED989">
      <w:pPr>
        <w:keepNext w:val="0"/>
        <w:keepLines w:val="0"/>
        <w:pageBreakBefore w:val="0"/>
        <w:kinsoku/>
        <w:wordWrap/>
        <w:overflowPunct/>
        <w:topLinePunct w:val="0"/>
        <w:bidi w:val="0"/>
        <w:adjustRightInd w:val="0"/>
        <w:snapToGrid w:val="0"/>
        <w:spacing w:line="360" w:lineRule="auto"/>
        <w:ind w:firstLine="420" w:firstLineChars="200"/>
        <w:rPr>
          <w:rFonts w:hint="eastAsia" w:ascii="黑体" w:hAnsi="黑体" w:eastAsia="黑体"/>
          <w:szCs w:val="21"/>
          <w:highlight w:val="none"/>
        </w:rPr>
      </w:pPr>
      <w:r>
        <w:rPr>
          <w:rFonts w:hint="eastAsia" w:ascii="黑体" w:hAnsi="黑体" w:eastAsia="黑体"/>
          <w:szCs w:val="21"/>
          <w:highlight w:val="none"/>
        </w:rPr>
        <w:t>（2）</w:t>
      </w:r>
      <w:r>
        <w:rPr>
          <w:rFonts w:ascii="黑体" w:hAnsi="黑体" w:eastAsia="黑体"/>
          <w:szCs w:val="21"/>
          <w:highlight w:val="none"/>
        </w:rPr>
        <w:t>业绩要求：</w:t>
      </w:r>
      <w:r>
        <w:rPr>
          <w:rFonts w:hint="eastAsia" w:asciiTheme="minorEastAsia" w:hAnsiTheme="minorEastAsia" w:eastAsiaTheme="minorEastAsia"/>
          <w:highlight w:val="none"/>
          <w:lang w:val="zh-CN"/>
        </w:rPr>
        <w:t>2023年1月1日至投标截止时间（以竣工时间为准）至少完成过1个已验收合格的单项合同额2000万元及以上送电线路工</w:t>
      </w:r>
      <w:r>
        <w:rPr>
          <w:rFonts w:asciiTheme="minorEastAsia" w:hAnsiTheme="minorEastAsia" w:eastAsiaTheme="minorEastAsia"/>
          <w:highlight w:val="none"/>
          <w:lang w:val="zh-CN"/>
        </w:rPr>
        <w:t>程的施工业绩</w:t>
      </w:r>
      <w:r>
        <w:rPr>
          <w:rFonts w:hint="eastAsia" w:asciiTheme="minorEastAsia" w:hAnsiTheme="minorEastAsia" w:eastAsiaTheme="minorEastAsia"/>
          <w:highlight w:val="none"/>
          <w:lang w:val="zh-CN"/>
        </w:rPr>
        <w:t>。</w:t>
      </w:r>
    </w:p>
    <w:bookmarkEnd w:id="6"/>
    <w:p w14:paraId="055C2CCC">
      <w:pPr>
        <w:keepNext w:val="0"/>
        <w:keepLines w:val="0"/>
        <w:pageBreakBefore w:val="0"/>
        <w:kinsoku/>
        <w:wordWrap/>
        <w:overflowPunct/>
        <w:topLinePunct w:val="0"/>
        <w:bidi w:val="0"/>
        <w:adjustRightInd w:val="0"/>
        <w:snapToGrid w:val="0"/>
        <w:spacing w:line="360" w:lineRule="auto"/>
        <w:ind w:firstLine="420" w:firstLineChars="200"/>
        <w:rPr>
          <w:rFonts w:hint="eastAsia" w:asciiTheme="minorEastAsia" w:hAnsiTheme="minorEastAsia" w:eastAsiaTheme="minorEastAsia"/>
          <w:szCs w:val="21"/>
          <w:highlight w:val="none"/>
        </w:rPr>
      </w:pPr>
      <w:r>
        <w:rPr>
          <w:rFonts w:hint="eastAsia" w:ascii="黑体" w:hAnsi="黑体" w:eastAsia="黑体"/>
          <w:szCs w:val="21"/>
          <w:highlight w:val="none"/>
        </w:rPr>
        <w:t>（</w:t>
      </w:r>
      <w:r>
        <w:rPr>
          <w:rFonts w:ascii="黑体" w:hAnsi="黑体" w:eastAsia="黑体"/>
          <w:szCs w:val="21"/>
          <w:highlight w:val="none"/>
        </w:rPr>
        <w:t>3</w:t>
      </w:r>
      <w:r>
        <w:rPr>
          <w:rFonts w:hint="eastAsia" w:ascii="黑体" w:hAnsi="黑体" w:eastAsia="黑体"/>
          <w:szCs w:val="21"/>
          <w:highlight w:val="none"/>
        </w:rPr>
        <w:t>）项目经理要求：</w:t>
      </w:r>
      <w:r>
        <w:rPr>
          <w:rFonts w:hint="eastAsia" w:asciiTheme="minorEastAsia" w:hAnsiTheme="minorEastAsia" w:eastAsiaTheme="minorEastAsia"/>
          <w:szCs w:val="21"/>
          <w:highlight w:val="none"/>
        </w:rPr>
        <w:t>拟派项目经理须具有现注册在投标人单位的有效的“机电工程”专业一级建造师注册证书，且无在建工程；</w:t>
      </w:r>
      <w:r>
        <w:rPr>
          <w:rFonts w:hint="eastAsia" w:asciiTheme="minorEastAsia" w:hAnsiTheme="minorEastAsia" w:eastAsiaTheme="minorEastAsia"/>
          <w:color w:val="333333"/>
          <w:szCs w:val="21"/>
          <w:highlight w:val="none"/>
        </w:rPr>
        <w:t>具有省级住房和城乡建设行政主管部门颁发的《安全生产考核合格证书》（B类，单位名称与投标人名称一致）。</w:t>
      </w:r>
    </w:p>
    <w:p w14:paraId="3C2F4149">
      <w:pPr>
        <w:keepNext w:val="0"/>
        <w:keepLines w:val="0"/>
        <w:pageBreakBefore w:val="0"/>
        <w:kinsoku/>
        <w:wordWrap/>
        <w:overflowPunct/>
        <w:topLinePunct w:val="0"/>
        <w:autoSpaceDE w:val="0"/>
        <w:autoSpaceDN w:val="0"/>
        <w:bidi w:val="0"/>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3.2</w:t>
      </w:r>
      <w:r>
        <w:rPr>
          <w:rFonts w:ascii="宋体" w:hAnsi="宋体"/>
          <w:szCs w:val="21"/>
          <w:highlight w:val="none"/>
        </w:rPr>
        <w:t xml:space="preserve"> </w:t>
      </w:r>
      <w:r>
        <w:rPr>
          <w:rFonts w:hint="eastAsia" w:ascii="宋体" w:hAnsi="宋体"/>
          <w:szCs w:val="21"/>
          <w:highlight w:val="none"/>
        </w:rPr>
        <w:t>本次招标</w:t>
      </w:r>
      <w:r>
        <w:rPr>
          <w:rFonts w:hint="eastAsia" w:ascii="黑体" w:hAnsi="黑体" w:eastAsia="黑体"/>
          <w:szCs w:val="21"/>
          <w:highlight w:val="none"/>
        </w:rPr>
        <w:t>不接受</w:t>
      </w:r>
      <w:r>
        <w:rPr>
          <w:rFonts w:hint="eastAsia" w:ascii="宋体" w:hAnsi="宋体"/>
          <w:szCs w:val="21"/>
          <w:highlight w:val="none"/>
        </w:rPr>
        <w:t>联合体投标。</w:t>
      </w:r>
    </w:p>
    <w:p w14:paraId="7BE869AE">
      <w:pPr>
        <w:keepNext w:val="0"/>
        <w:keepLines w:val="0"/>
        <w:pageBreakBefore w:val="0"/>
        <w:kinsoku/>
        <w:wordWrap/>
        <w:overflowPunct/>
        <w:topLinePunct w:val="0"/>
        <w:autoSpaceDE w:val="0"/>
        <w:autoSpaceDN w:val="0"/>
        <w:bidi w:val="0"/>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3.3</w:t>
      </w:r>
      <w:r>
        <w:rPr>
          <w:rFonts w:ascii="宋体" w:hAnsi="宋体"/>
          <w:szCs w:val="21"/>
          <w:highlight w:val="none"/>
        </w:rPr>
        <w:t xml:space="preserve"> </w:t>
      </w:r>
      <w:r>
        <w:rPr>
          <w:rFonts w:hint="eastAsia" w:ascii="宋体" w:hAnsi="宋体"/>
          <w:szCs w:val="21"/>
          <w:highlight w:val="none"/>
        </w:rPr>
        <w:t>与招标人存在利害关系可能影响招标公正性的单位，不得参加投标，单位负责人为同一人或存在控股、管理关系的不同单位，不得参加同一标段投标，否则，相关投标均无效。</w:t>
      </w:r>
    </w:p>
    <w:p w14:paraId="1E2B2216">
      <w:pPr>
        <w:keepNext w:val="0"/>
        <w:keepLines w:val="0"/>
        <w:pageBreakBefore w:val="0"/>
        <w:kinsoku/>
        <w:wordWrap/>
        <w:overflowPunct/>
        <w:topLinePunct w:val="0"/>
        <w:autoSpaceDE w:val="0"/>
        <w:autoSpaceDN w:val="0"/>
        <w:bidi w:val="0"/>
        <w:adjustRightInd w:val="0"/>
        <w:snapToGrid w:val="0"/>
        <w:spacing w:line="360" w:lineRule="auto"/>
        <w:ind w:firstLine="420" w:firstLineChars="200"/>
        <w:rPr>
          <w:rFonts w:hint="eastAsia" w:cs="楷体_GB2312" w:asciiTheme="minorEastAsia" w:hAnsiTheme="minorEastAsia" w:eastAsiaTheme="minorEastAsia"/>
          <w:szCs w:val="21"/>
          <w:highlight w:val="none"/>
        </w:rPr>
      </w:pPr>
      <w:r>
        <w:rPr>
          <w:rFonts w:hint="eastAsia" w:ascii="宋体" w:hAnsi="宋体"/>
          <w:szCs w:val="21"/>
          <w:highlight w:val="none"/>
        </w:rPr>
        <w:t>3.4</w:t>
      </w:r>
      <w:r>
        <w:rPr>
          <w:rFonts w:ascii="宋体" w:hAnsi="宋体"/>
          <w:szCs w:val="21"/>
          <w:highlight w:val="none"/>
        </w:rPr>
        <w:t xml:space="preserve"> 在“信用中国”</w:t>
      </w:r>
      <w:r>
        <w:rPr>
          <w:rFonts w:asciiTheme="minorEastAsia" w:hAnsiTheme="minorEastAsia" w:eastAsiaTheme="minorEastAsia"/>
          <w:szCs w:val="21"/>
          <w:highlight w:val="none"/>
        </w:rPr>
        <w:t>网站（</w:t>
      </w:r>
      <w:r>
        <w:rPr>
          <w:highlight w:val="none"/>
        </w:rPr>
        <w:fldChar w:fldCharType="begin"/>
      </w:r>
      <w:r>
        <w:rPr>
          <w:highlight w:val="none"/>
        </w:rPr>
        <w:instrText xml:space="preserve"> HYPERLINK "http://www.creditchina.gov.cn/)%e4%b8%ad%e8%a2%ab%e5%88%97%e5%85%a5%e5%a4%b1%e4%bf%a1%e8%a2%ab%e6%89%a7%e8%a1%8c%e4%ba%ba" </w:instrText>
      </w:r>
      <w:r>
        <w:rPr>
          <w:highlight w:val="none"/>
        </w:rPr>
        <w:fldChar w:fldCharType="separate"/>
      </w:r>
      <w:r>
        <w:rPr>
          <w:rFonts w:asciiTheme="minorEastAsia" w:hAnsiTheme="minorEastAsia" w:eastAsiaTheme="minorEastAsia"/>
          <w:szCs w:val="21"/>
          <w:highlight w:val="none"/>
        </w:rPr>
        <w:t>http://www.creditchina.gov.cn/)中被列入失信被执行人</w:t>
      </w:r>
      <w:r>
        <w:rPr>
          <w:rFonts w:asciiTheme="minorEastAsia" w:hAnsiTheme="minorEastAsia" w:eastAsiaTheme="minorEastAsia"/>
          <w:szCs w:val="21"/>
          <w:highlight w:val="none"/>
        </w:rPr>
        <w:fldChar w:fldCharType="end"/>
      </w:r>
      <w:r>
        <w:rPr>
          <w:rFonts w:asciiTheme="minorEastAsia" w:hAnsiTheme="minorEastAsia" w:eastAsiaTheme="minorEastAsia"/>
          <w:szCs w:val="21"/>
          <w:highlight w:val="none"/>
        </w:rPr>
        <w:t>名单的投标人，不得参加投标。</w:t>
      </w:r>
    </w:p>
    <w:p w14:paraId="77C772CA">
      <w:pPr>
        <w:keepNext w:val="0"/>
        <w:keepLines w:val="0"/>
        <w:pageBreakBefore w:val="0"/>
        <w:kinsoku/>
        <w:wordWrap/>
        <w:overflowPunct/>
        <w:topLinePunct w:val="0"/>
        <w:bidi w:val="0"/>
        <w:snapToGrid w:val="0"/>
        <w:spacing w:line="360" w:lineRule="auto"/>
        <w:rPr>
          <w:rFonts w:ascii="黑体" w:eastAsia="黑体"/>
          <w:sz w:val="24"/>
          <w:highlight w:val="none"/>
        </w:rPr>
      </w:pPr>
      <w:r>
        <w:rPr>
          <w:rFonts w:hint="eastAsia" w:ascii="黑体" w:eastAsia="黑体"/>
          <w:sz w:val="24"/>
          <w:highlight w:val="none"/>
        </w:rPr>
        <w:t>4.评标办法</w:t>
      </w:r>
    </w:p>
    <w:p w14:paraId="398BB68E">
      <w:pPr>
        <w:keepNext w:val="0"/>
        <w:keepLines w:val="0"/>
        <w:pageBreakBefore w:val="0"/>
        <w:kinsoku/>
        <w:wordWrap/>
        <w:overflowPunct/>
        <w:topLinePunct w:val="0"/>
        <w:bidi w:val="0"/>
        <w:adjustRightInd w:val="0"/>
        <w:snapToGrid w:val="0"/>
        <w:spacing w:line="360" w:lineRule="auto"/>
        <w:ind w:firstLine="420" w:firstLineChars="200"/>
        <w:rPr>
          <w:rFonts w:hint="eastAsia" w:ascii="宋体" w:hAnsi="宋体"/>
          <w:color w:val="000000"/>
          <w:szCs w:val="21"/>
          <w:highlight w:val="none"/>
        </w:rPr>
      </w:pPr>
      <w:r>
        <w:rPr>
          <w:rFonts w:hint="eastAsia" w:ascii="宋体" w:hAnsi="宋体"/>
          <w:szCs w:val="21"/>
          <w:highlight w:val="none"/>
        </w:rPr>
        <w:t>本</w:t>
      </w:r>
      <w:r>
        <w:rPr>
          <w:rFonts w:ascii="宋体" w:hAnsi="宋体"/>
          <w:szCs w:val="21"/>
          <w:highlight w:val="none"/>
        </w:rPr>
        <w:t>项目评标</w:t>
      </w:r>
      <w:r>
        <w:rPr>
          <w:rFonts w:hint="eastAsia" w:ascii="宋体" w:hAnsi="宋体"/>
          <w:szCs w:val="21"/>
          <w:highlight w:val="none"/>
        </w:rPr>
        <w:t>采用</w:t>
      </w:r>
      <w:r>
        <w:rPr>
          <w:rFonts w:hint="eastAsia" w:ascii="黑体" w:hAnsi="黑体" w:eastAsia="黑体"/>
          <w:szCs w:val="21"/>
          <w:highlight w:val="none"/>
        </w:rPr>
        <w:t>综合评估法</w:t>
      </w:r>
      <w:r>
        <w:rPr>
          <w:rFonts w:hint="eastAsia" w:ascii="宋体" w:hAnsi="宋体"/>
          <w:color w:val="000000"/>
          <w:szCs w:val="21"/>
          <w:highlight w:val="none"/>
        </w:rPr>
        <w:t>。</w:t>
      </w:r>
    </w:p>
    <w:p w14:paraId="3FE73323">
      <w:pPr>
        <w:keepNext w:val="0"/>
        <w:keepLines w:val="0"/>
        <w:pageBreakBefore w:val="0"/>
        <w:kinsoku/>
        <w:wordWrap/>
        <w:overflowPunct/>
        <w:topLinePunct w:val="0"/>
        <w:bidi w:val="0"/>
        <w:snapToGrid w:val="0"/>
        <w:spacing w:line="360" w:lineRule="auto"/>
        <w:rPr>
          <w:rFonts w:ascii="黑体" w:eastAsia="黑体"/>
          <w:sz w:val="24"/>
          <w:highlight w:val="none"/>
        </w:rPr>
      </w:pPr>
      <w:r>
        <w:rPr>
          <w:rFonts w:ascii="黑体" w:eastAsia="黑体"/>
          <w:sz w:val="24"/>
          <w:highlight w:val="none"/>
        </w:rPr>
        <w:t>5.</w:t>
      </w:r>
      <w:r>
        <w:rPr>
          <w:rFonts w:hint="eastAsia" w:ascii="黑体" w:eastAsia="黑体"/>
          <w:sz w:val="24"/>
          <w:highlight w:val="none"/>
        </w:rPr>
        <w:t xml:space="preserve"> 电子化招投标相关要求</w:t>
      </w:r>
    </w:p>
    <w:p w14:paraId="73B9F92B">
      <w:pPr>
        <w:keepNext w:val="0"/>
        <w:keepLines w:val="0"/>
        <w:pageBreakBefore w:val="0"/>
        <w:kinsoku/>
        <w:wordWrap/>
        <w:overflowPunct/>
        <w:topLinePunct w:val="0"/>
        <w:bidi w:val="0"/>
        <w:adjustRightInd w:val="0"/>
        <w:snapToGrid w:val="0"/>
        <w:spacing w:line="360" w:lineRule="auto"/>
        <w:ind w:firstLine="420" w:firstLineChars="200"/>
        <w:rPr>
          <w:rFonts w:hint="eastAsia" w:asciiTheme="minorEastAsia" w:hAnsiTheme="minorEastAsia" w:eastAsiaTheme="minorEastAsia"/>
          <w:szCs w:val="21"/>
          <w:highlight w:val="none"/>
        </w:rPr>
      </w:pPr>
      <w:r>
        <w:rPr>
          <w:rFonts w:ascii="宋体" w:hAnsi="宋体"/>
          <w:kern w:val="0"/>
          <w:szCs w:val="21"/>
          <w:highlight w:val="none"/>
        </w:rPr>
        <w:t>5.1 本次招标全程实行电子化招投标。</w:t>
      </w:r>
    </w:p>
    <w:bookmarkEnd w:id="1"/>
    <w:bookmarkEnd w:id="2"/>
    <w:p w14:paraId="092BEC39">
      <w:pPr>
        <w:keepNext w:val="0"/>
        <w:keepLines w:val="0"/>
        <w:pageBreakBefore w:val="0"/>
        <w:kinsoku/>
        <w:wordWrap/>
        <w:overflowPunct/>
        <w:topLinePunct w:val="0"/>
        <w:bidi w:val="0"/>
        <w:snapToGrid w:val="0"/>
        <w:spacing w:line="360" w:lineRule="auto"/>
        <w:rPr>
          <w:rFonts w:ascii="黑体" w:eastAsia="黑体"/>
          <w:sz w:val="24"/>
          <w:highlight w:val="none"/>
        </w:rPr>
      </w:pPr>
      <w:bookmarkStart w:id="7" w:name="OLE_LINK14"/>
      <w:r>
        <w:rPr>
          <w:rFonts w:hint="eastAsia" w:ascii="黑体" w:eastAsia="黑体"/>
          <w:sz w:val="24"/>
          <w:highlight w:val="none"/>
        </w:rPr>
        <w:t>6.招标文件的获取</w:t>
      </w:r>
    </w:p>
    <w:p w14:paraId="7512039F">
      <w:pPr>
        <w:keepNext w:val="0"/>
        <w:keepLines w:val="0"/>
        <w:pageBreakBefore w:val="0"/>
        <w:kinsoku/>
        <w:wordWrap/>
        <w:overflowPunct/>
        <w:topLinePunct w:val="0"/>
        <w:bidi w:val="0"/>
        <w:adjustRightInd w:val="0"/>
        <w:snapToGrid w:val="0"/>
        <w:spacing w:line="360" w:lineRule="auto"/>
        <w:ind w:firstLine="420"/>
        <w:rPr>
          <w:rFonts w:hint="eastAsia" w:ascii="宋体" w:hAnsi="宋体"/>
          <w:szCs w:val="21"/>
          <w:highlight w:val="none"/>
        </w:rPr>
      </w:pPr>
      <w:bookmarkStart w:id="8" w:name="_Hlk170804672"/>
      <w:r>
        <w:rPr>
          <w:rFonts w:hint="eastAsia" w:ascii="宋体" w:hAnsi="宋体"/>
          <w:szCs w:val="21"/>
          <w:highlight w:val="none"/>
        </w:rPr>
        <w:t>6.1</w:t>
      </w:r>
      <w:bookmarkStart w:id="9" w:name="_Hlk170804693"/>
      <w:r>
        <w:rPr>
          <w:rFonts w:hint="eastAsia" w:ascii="宋体" w:hAnsi="宋体"/>
          <w:szCs w:val="21"/>
          <w:highlight w:val="none"/>
        </w:rPr>
        <w:t>凡有意参加投标者，请于</w:t>
      </w:r>
      <w:bookmarkStart w:id="10" w:name="_Hlk199141945"/>
      <w:r>
        <w:rPr>
          <w:rFonts w:hint="eastAsia" w:ascii="黑体" w:hAnsi="黑体" w:eastAsia="黑体"/>
          <w:szCs w:val="21"/>
          <w:highlight w:val="none"/>
          <w:u w:val="single"/>
        </w:rPr>
        <w:t>20</w:t>
      </w:r>
      <w:r>
        <w:rPr>
          <w:rFonts w:ascii="黑体" w:hAnsi="黑体" w:eastAsia="黑体"/>
          <w:szCs w:val="21"/>
          <w:highlight w:val="none"/>
          <w:u w:val="single"/>
        </w:rPr>
        <w:t>2</w:t>
      </w:r>
      <w:r>
        <w:rPr>
          <w:rFonts w:hint="eastAsia" w:ascii="黑体" w:hAnsi="黑体" w:eastAsia="黑体"/>
          <w:szCs w:val="21"/>
          <w:highlight w:val="none"/>
          <w:u w:val="single"/>
        </w:rPr>
        <w:t>6年10月20日至2026年10月26日</w:t>
      </w:r>
      <w:r>
        <w:rPr>
          <w:rFonts w:hint="eastAsia" w:ascii="宋体" w:hAnsi="宋体"/>
          <w:szCs w:val="21"/>
          <w:highlight w:val="none"/>
        </w:rPr>
        <w:t>，</w:t>
      </w:r>
      <w:bookmarkEnd w:id="10"/>
      <w:r>
        <w:rPr>
          <w:rFonts w:hint="eastAsia" w:ascii="宋体" w:hAnsi="宋体"/>
          <w:szCs w:val="21"/>
          <w:highlight w:val="none"/>
        </w:rPr>
        <w:t>登录吉林省公共资源交易一体化平台（https://www.ggzyyth.jl.cn/TPBidder）免费下载招标文件。</w:t>
      </w:r>
      <w:bookmarkEnd w:id="9"/>
    </w:p>
    <w:bookmarkEnd w:id="8"/>
    <w:p w14:paraId="4F21DE73">
      <w:pPr>
        <w:keepNext w:val="0"/>
        <w:keepLines w:val="0"/>
        <w:pageBreakBefore w:val="0"/>
        <w:kinsoku/>
        <w:wordWrap/>
        <w:overflowPunct/>
        <w:topLinePunct w:val="0"/>
        <w:bidi w:val="0"/>
        <w:snapToGrid w:val="0"/>
        <w:spacing w:line="360" w:lineRule="auto"/>
        <w:rPr>
          <w:rFonts w:ascii="黑体" w:eastAsia="黑体"/>
          <w:sz w:val="24"/>
          <w:highlight w:val="none"/>
        </w:rPr>
      </w:pPr>
      <w:bookmarkStart w:id="11" w:name="_Toc184704558"/>
      <w:r>
        <w:rPr>
          <w:rFonts w:hint="eastAsia" w:ascii="黑体" w:eastAsia="黑体"/>
          <w:sz w:val="24"/>
          <w:highlight w:val="none"/>
        </w:rPr>
        <w:t>7．</w:t>
      </w:r>
      <w:bookmarkEnd w:id="11"/>
      <w:r>
        <w:rPr>
          <w:rFonts w:hint="eastAsia" w:ascii="黑体" w:eastAsia="黑体"/>
          <w:sz w:val="24"/>
          <w:highlight w:val="none"/>
        </w:rPr>
        <w:t>投标文件的递交及相关事宜</w:t>
      </w:r>
    </w:p>
    <w:p w14:paraId="615FCCFF">
      <w:pPr>
        <w:keepNext w:val="0"/>
        <w:keepLines w:val="0"/>
        <w:pageBreakBefore w:val="0"/>
        <w:kinsoku/>
        <w:wordWrap/>
        <w:overflowPunct/>
        <w:topLinePunct w:val="0"/>
        <w:bidi w:val="0"/>
        <w:adjustRightInd w:val="0"/>
        <w:snapToGrid w:val="0"/>
        <w:spacing w:line="360" w:lineRule="auto"/>
        <w:ind w:firstLine="420" w:firstLineChars="200"/>
        <w:rPr>
          <w:rFonts w:hint="eastAsia" w:ascii="宋体" w:hAnsi="宋体"/>
          <w:szCs w:val="21"/>
          <w:highlight w:val="none"/>
        </w:rPr>
      </w:pPr>
      <w:bookmarkStart w:id="12" w:name="_Hlk186359074"/>
      <w:r>
        <w:rPr>
          <w:rFonts w:hint="eastAsia" w:ascii="宋体" w:hAnsi="宋体"/>
          <w:szCs w:val="21"/>
          <w:highlight w:val="none"/>
        </w:rPr>
        <w:t>7.1招标人不组织工程现场踏勘和投标预备会。</w:t>
      </w:r>
    </w:p>
    <w:p w14:paraId="33485011">
      <w:pPr>
        <w:keepNext w:val="0"/>
        <w:keepLines w:val="0"/>
        <w:pageBreakBefore w:val="0"/>
        <w:kinsoku/>
        <w:wordWrap/>
        <w:overflowPunct/>
        <w:topLinePunct w:val="0"/>
        <w:bidi w:val="0"/>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7.2投标文件递交的截止时间（投标截止时间，下同）：</w:t>
      </w:r>
      <w:r>
        <w:rPr>
          <w:rFonts w:hint="eastAsia" w:ascii="黑体" w:hAnsi="黑体" w:eastAsia="黑体"/>
          <w:szCs w:val="21"/>
          <w:highlight w:val="none"/>
          <w:u w:val="single"/>
        </w:rPr>
        <w:t xml:space="preserve"> 2026年11月13日9时00分</w:t>
      </w:r>
      <w:r>
        <w:rPr>
          <w:rFonts w:hint="eastAsia" w:ascii="宋体" w:hAnsi="宋体"/>
          <w:szCs w:val="21"/>
          <w:highlight w:val="none"/>
        </w:rPr>
        <w:t>，投标人应在投标截止时间前将加密的电子投标文件上传至“吉林省公共资源交易一体化平台”，逾期上传的电子投标文件，电子招标投标交易平台将予以拒收。</w:t>
      </w:r>
    </w:p>
    <w:p w14:paraId="7834788F">
      <w:pPr>
        <w:keepNext w:val="0"/>
        <w:keepLines w:val="0"/>
        <w:pageBreakBefore w:val="0"/>
        <w:kinsoku/>
        <w:wordWrap/>
        <w:overflowPunct/>
        <w:topLinePunct w:val="0"/>
        <w:bidi w:val="0"/>
        <w:adjustRightInd w:val="0"/>
        <w:snapToGrid w:val="0"/>
        <w:spacing w:line="360" w:lineRule="auto"/>
        <w:ind w:firstLine="420"/>
        <w:rPr>
          <w:rFonts w:hint="eastAsia" w:ascii="宋体" w:hAnsi="宋体"/>
          <w:szCs w:val="21"/>
          <w:highlight w:val="none"/>
        </w:rPr>
      </w:pPr>
      <w:r>
        <w:rPr>
          <w:rFonts w:hint="eastAsia" w:ascii="宋体" w:hAnsi="宋体"/>
          <w:szCs w:val="21"/>
          <w:highlight w:val="none"/>
        </w:rPr>
        <w:t>7.3投标文件开标时间：同投标截止时间，开标地点：吉林省公共资源交易中心四楼开标区。</w:t>
      </w:r>
    </w:p>
    <w:bookmarkEnd w:id="12"/>
    <w:p w14:paraId="100204BB">
      <w:pPr>
        <w:keepNext w:val="0"/>
        <w:keepLines w:val="0"/>
        <w:pageBreakBefore w:val="0"/>
        <w:kinsoku/>
        <w:wordWrap/>
        <w:overflowPunct/>
        <w:topLinePunct w:val="0"/>
        <w:bidi w:val="0"/>
        <w:snapToGrid w:val="0"/>
        <w:spacing w:line="360" w:lineRule="auto"/>
        <w:rPr>
          <w:rFonts w:ascii="黑体" w:eastAsia="黑体"/>
          <w:sz w:val="24"/>
          <w:highlight w:val="none"/>
        </w:rPr>
      </w:pPr>
      <w:bookmarkStart w:id="13" w:name="_Toc184704559"/>
      <w:r>
        <w:rPr>
          <w:rFonts w:hint="eastAsia" w:ascii="黑体" w:eastAsia="黑体"/>
          <w:sz w:val="24"/>
          <w:highlight w:val="none"/>
        </w:rPr>
        <w:t>8．发布公告的媒介</w:t>
      </w:r>
      <w:bookmarkEnd w:id="13"/>
    </w:p>
    <w:p w14:paraId="387C3A4C">
      <w:pPr>
        <w:keepNext w:val="0"/>
        <w:keepLines w:val="0"/>
        <w:pageBreakBefore w:val="0"/>
        <w:kinsoku/>
        <w:wordWrap/>
        <w:overflowPunct/>
        <w:topLinePunct w:val="0"/>
        <w:bidi w:val="0"/>
        <w:adjustRightInd w:val="0"/>
        <w:snapToGrid w:val="0"/>
        <w:spacing w:line="360" w:lineRule="auto"/>
        <w:ind w:firstLine="420"/>
        <w:rPr>
          <w:rFonts w:hint="eastAsia" w:ascii="宋体" w:hAnsi="宋体"/>
          <w:szCs w:val="21"/>
          <w:highlight w:val="none"/>
        </w:rPr>
      </w:pPr>
      <w:bookmarkStart w:id="14" w:name="_Toc184704560"/>
      <w:r>
        <w:rPr>
          <w:rFonts w:hint="eastAsia" w:ascii="宋体" w:hAnsi="宋体"/>
          <w:szCs w:val="21"/>
          <w:highlight w:val="none"/>
        </w:rPr>
        <w:t>8.1本次招标公告同时在中国招标投标公共服务平台、吉林省公共资源交易中心网（同步推送到吉林省公共资源交易公共服务平台）、吉林省交通运输厅网站、长春市交通运输局网站上发布。</w:t>
      </w:r>
    </w:p>
    <w:p w14:paraId="10D55093">
      <w:pPr>
        <w:keepNext w:val="0"/>
        <w:keepLines w:val="0"/>
        <w:pageBreakBefore w:val="0"/>
        <w:kinsoku/>
        <w:wordWrap/>
        <w:overflowPunct/>
        <w:topLinePunct w:val="0"/>
        <w:bidi w:val="0"/>
        <w:adjustRightInd w:val="0"/>
        <w:snapToGrid w:val="0"/>
        <w:spacing w:line="360" w:lineRule="auto"/>
        <w:ind w:firstLine="420"/>
        <w:rPr>
          <w:rFonts w:hint="eastAsia" w:ascii="宋体" w:hAnsi="宋体"/>
          <w:szCs w:val="21"/>
          <w:highlight w:val="none"/>
        </w:rPr>
      </w:pPr>
      <w:r>
        <w:rPr>
          <w:rFonts w:hint="eastAsia" w:ascii="宋体" w:hAnsi="宋体"/>
          <w:szCs w:val="21"/>
          <w:highlight w:val="none"/>
        </w:rPr>
        <w:t>8.2 本次招标文件的关键内容在吉林省交通运输厅网站、长春市交通运输局网站上公开。</w:t>
      </w:r>
    </w:p>
    <w:bookmarkEnd w:id="3"/>
    <w:bookmarkEnd w:id="4"/>
    <w:bookmarkEnd w:id="7"/>
    <w:bookmarkEnd w:id="14"/>
    <w:p w14:paraId="650EB959">
      <w:pPr>
        <w:pStyle w:val="4"/>
        <w:snapToGrid w:val="0"/>
        <w:spacing w:before="0" w:after="0" w:line="240" w:lineRule="auto"/>
        <w:rPr>
          <w:rFonts w:hint="eastAsia" w:ascii="黑体" w:hAnsi="黑体" w:eastAsia="黑体"/>
          <w:b w:val="0"/>
          <w:bCs w:val="0"/>
          <w:sz w:val="24"/>
          <w:szCs w:val="24"/>
          <w:highlight w:val="none"/>
        </w:rPr>
      </w:pPr>
      <w:bookmarkStart w:id="15" w:name="_Toc14934200"/>
      <w:bookmarkStart w:id="16" w:name="_Toc258182503"/>
      <w:r>
        <w:rPr>
          <w:rFonts w:hint="eastAsia" w:ascii="黑体" w:hAnsi="黑体" w:eastAsia="黑体"/>
          <w:b w:val="0"/>
          <w:bCs w:val="0"/>
          <w:sz w:val="24"/>
          <w:szCs w:val="24"/>
          <w:highlight w:val="none"/>
          <w:lang w:val="en-US" w:eastAsia="zh-CN"/>
        </w:rPr>
        <w:t>9.</w:t>
      </w:r>
      <w:r>
        <w:rPr>
          <w:rFonts w:hint="eastAsia" w:ascii="黑体" w:hAnsi="黑体" w:eastAsia="黑体"/>
          <w:b w:val="0"/>
          <w:bCs w:val="0"/>
          <w:sz w:val="24"/>
          <w:szCs w:val="24"/>
          <w:highlight w:val="none"/>
        </w:rPr>
        <w:t>投标人须知前附表</w:t>
      </w:r>
      <w:bookmarkEnd w:id="15"/>
      <w:bookmarkEnd w:id="16"/>
      <w:r>
        <w:rPr>
          <w:rStyle w:val="65"/>
          <w:rFonts w:ascii="黑体" w:hAnsi="黑体" w:eastAsia="黑体"/>
          <w:b w:val="0"/>
          <w:bCs w:val="0"/>
          <w:sz w:val="24"/>
          <w:szCs w:val="24"/>
          <w:highlight w:val="none"/>
        </w:rPr>
        <w:footnoteReference w:id="0"/>
      </w:r>
    </w:p>
    <w:tbl>
      <w:tblPr>
        <w:tblStyle w:val="55"/>
        <w:tblW w:w="4898"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57" w:type="dxa"/>
          <w:bottom w:w="0" w:type="dxa"/>
          <w:right w:w="57" w:type="dxa"/>
        </w:tblCellMar>
      </w:tblPr>
      <w:tblGrid>
        <w:gridCol w:w="770"/>
        <w:gridCol w:w="2111"/>
        <w:gridCol w:w="6673"/>
      </w:tblGrid>
      <w:tr w14:paraId="387E10D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tblHeader/>
          <w:jc w:val="center"/>
        </w:trPr>
        <w:tc>
          <w:tcPr>
            <w:tcW w:w="403" w:type="pct"/>
            <w:vAlign w:val="center"/>
          </w:tcPr>
          <w:p w14:paraId="00E982B2">
            <w:pPr>
              <w:adjustRightInd w:val="0"/>
              <w:snapToGrid w:val="0"/>
              <w:jc w:val="center"/>
              <w:rPr>
                <w:rFonts w:hint="eastAsia" w:ascii="宋体" w:hAnsi="宋体"/>
                <w:szCs w:val="21"/>
                <w:highlight w:val="none"/>
              </w:rPr>
            </w:pPr>
            <w:r>
              <w:rPr>
                <w:rFonts w:ascii="宋体" w:hAnsi="宋体"/>
                <w:szCs w:val="21"/>
                <w:highlight w:val="none"/>
              </w:rPr>
              <w:t>条款号</w:t>
            </w:r>
          </w:p>
        </w:tc>
        <w:tc>
          <w:tcPr>
            <w:tcW w:w="1105" w:type="pct"/>
            <w:vAlign w:val="center"/>
          </w:tcPr>
          <w:p w14:paraId="1947A7B4">
            <w:pPr>
              <w:adjustRightInd w:val="0"/>
              <w:snapToGrid w:val="0"/>
              <w:jc w:val="center"/>
              <w:rPr>
                <w:rFonts w:hint="eastAsia" w:ascii="宋体" w:hAnsi="宋体"/>
                <w:szCs w:val="21"/>
                <w:highlight w:val="none"/>
              </w:rPr>
            </w:pPr>
            <w:r>
              <w:rPr>
                <w:rFonts w:ascii="宋体" w:hAnsi="宋体"/>
                <w:szCs w:val="21"/>
                <w:highlight w:val="none"/>
              </w:rPr>
              <w:t>条款名称</w:t>
            </w:r>
          </w:p>
        </w:tc>
        <w:tc>
          <w:tcPr>
            <w:tcW w:w="3492" w:type="pct"/>
            <w:vAlign w:val="center"/>
          </w:tcPr>
          <w:p w14:paraId="6CF97157">
            <w:pPr>
              <w:adjustRightInd w:val="0"/>
              <w:snapToGrid w:val="0"/>
              <w:jc w:val="center"/>
              <w:rPr>
                <w:rFonts w:hint="eastAsia" w:ascii="宋体" w:hAnsi="宋体"/>
                <w:szCs w:val="21"/>
                <w:highlight w:val="none"/>
              </w:rPr>
            </w:pPr>
            <w:r>
              <w:rPr>
                <w:rFonts w:ascii="宋体" w:hAnsi="宋体"/>
                <w:szCs w:val="21"/>
                <w:highlight w:val="none"/>
              </w:rPr>
              <w:t>编列内容</w:t>
            </w:r>
          </w:p>
        </w:tc>
      </w:tr>
      <w:tr w14:paraId="21FE1A1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1531" w:hRule="atLeast"/>
          <w:jc w:val="center"/>
        </w:trPr>
        <w:tc>
          <w:tcPr>
            <w:tcW w:w="403" w:type="pct"/>
            <w:vAlign w:val="center"/>
          </w:tcPr>
          <w:p w14:paraId="57594F30">
            <w:pPr>
              <w:adjustRightInd w:val="0"/>
              <w:snapToGrid w:val="0"/>
              <w:jc w:val="center"/>
              <w:rPr>
                <w:rFonts w:hint="eastAsia" w:ascii="宋体" w:hAnsi="宋体"/>
                <w:szCs w:val="21"/>
                <w:highlight w:val="none"/>
              </w:rPr>
            </w:pPr>
            <w:r>
              <w:rPr>
                <w:rFonts w:ascii="宋体" w:hAnsi="宋体"/>
                <w:szCs w:val="21"/>
                <w:highlight w:val="none"/>
              </w:rPr>
              <w:t>1.1.2</w:t>
            </w:r>
          </w:p>
        </w:tc>
        <w:tc>
          <w:tcPr>
            <w:tcW w:w="1105" w:type="pct"/>
            <w:vAlign w:val="center"/>
          </w:tcPr>
          <w:p w14:paraId="183FD608">
            <w:pPr>
              <w:adjustRightInd w:val="0"/>
              <w:snapToGrid w:val="0"/>
              <w:jc w:val="center"/>
              <w:rPr>
                <w:rFonts w:hint="eastAsia" w:ascii="宋体" w:hAnsi="宋体"/>
                <w:szCs w:val="21"/>
                <w:highlight w:val="none"/>
              </w:rPr>
            </w:pPr>
            <w:r>
              <w:rPr>
                <w:rFonts w:ascii="宋体" w:hAnsi="宋体"/>
                <w:szCs w:val="21"/>
                <w:highlight w:val="none"/>
              </w:rPr>
              <w:t>招标人</w:t>
            </w:r>
          </w:p>
        </w:tc>
        <w:tc>
          <w:tcPr>
            <w:tcW w:w="3492" w:type="pct"/>
            <w:vAlign w:val="center"/>
          </w:tcPr>
          <w:p w14:paraId="3C0AB0D0">
            <w:pPr>
              <w:spacing w:line="340" w:lineRule="exact"/>
              <w:rPr>
                <w:rFonts w:hint="eastAsia" w:ascii="黑体" w:hAnsi="黑体" w:eastAsia="黑体"/>
                <w:color w:val="000000"/>
                <w:szCs w:val="21"/>
                <w:highlight w:val="none"/>
              </w:rPr>
            </w:pPr>
            <w:r>
              <w:rPr>
                <w:rFonts w:hint="eastAsia" w:ascii="宋体" w:hAnsi="宋体"/>
                <w:color w:val="000000"/>
                <w:szCs w:val="21"/>
                <w:highlight w:val="none"/>
              </w:rPr>
              <w:t>名  称：</w:t>
            </w:r>
            <w:r>
              <w:rPr>
                <w:rFonts w:hint="eastAsia" w:ascii="黑体" w:hAnsi="黑体" w:eastAsia="黑体"/>
                <w:color w:val="000000"/>
                <w:szCs w:val="21"/>
                <w:highlight w:val="none"/>
              </w:rPr>
              <w:t>长春市高等级公路建设管理中心</w:t>
            </w:r>
          </w:p>
          <w:p w14:paraId="012DFBC6">
            <w:pPr>
              <w:spacing w:line="340" w:lineRule="exact"/>
              <w:rPr>
                <w:rFonts w:hint="eastAsia" w:ascii="宋体" w:hAnsi="宋体"/>
                <w:color w:val="000000"/>
                <w:szCs w:val="21"/>
                <w:highlight w:val="none"/>
              </w:rPr>
            </w:pPr>
            <w:r>
              <w:rPr>
                <w:rFonts w:hint="eastAsia" w:ascii="宋体" w:hAnsi="宋体"/>
                <w:color w:val="000000"/>
                <w:szCs w:val="21"/>
                <w:highlight w:val="none"/>
              </w:rPr>
              <w:t>地  址：长春市二道区洋浦大街安龙泉立交桥交汇</w:t>
            </w:r>
          </w:p>
          <w:p w14:paraId="5C209719">
            <w:pPr>
              <w:spacing w:line="340" w:lineRule="exact"/>
              <w:rPr>
                <w:rFonts w:hint="eastAsia" w:ascii="宋体" w:hAnsi="宋体"/>
                <w:color w:val="000000"/>
                <w:szCs w:val="21"/>
                <w:highlight w:val="none"/>
              </w:rPr>
            </w:pPr>
            <w:r>
              <w:rPr>
                <w:rFonts w:hint="eastAsia" w:ascii="宋体" w:hAnsi="宋体"/>
                <w:color w:val="000000"/>
                <w:szCs w:val="21"/>
                <w:highlight w:val="none"/>
              </w:rPr>
              <w:t>联系人：杨帆</w:t>
            </w:r>
          </w:p>
          <w:p w14:paraId="5B77E7A2">
            <w:pPr>
              <w:spacing w:line="360" w:lineRule="exact"/>
              <w:rPr>
                <w:rFonts w:hint="eastAsia" w:ascii="宋体" w:hAnsi="宋体"/>
                <w:color w:val="000000"/>
                <w:szCs w:val="21"/>
                <w:highlight w:val="none"/>
              </w:rPr>
            </w:pPr>
            <w:r>
              <w:rPr>
                <w:rFonts w:hint="eastAsia" w:ascii="宋体" w:hAnsi="宋体"/>
                <w:color w:val="000000"/>
                <w:szCs w:val="21"/>
                <w:highlight w:val="none"/>
              </w:rPr>
              <w:t>电  话：</w:t>
            </w:r>
            <w:r>
              <w:rPr>
                <w:rFonts w:hint="eastAsia" w:ascii="宋体" w:hAnsi="宋体" w:cs="宋体"/>
                <w:szCs w:val="21"/>
                <w:highlight w:val="none"/>
              </w:rPr>
              <w:t>0431-85504370</w:t>
            </w:r>
          </w:p>
        </w:tc>
      </w:tr>
      <w:tr w14:paraId="06AA32E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1531" w:hRule="atLeast"/>
          <w:jc w:val="center"/>
        </w:trPr>
        <w:tc>
          <w:tcPr>
            <w:tcW w:w="403" w:type="pct"/>
            <w:vAlign w:val="center"/>
          </w:tcPr>
          <w:p w14:paraId="2C3B3E25">
            <w:pPr>
              <w:adjustRightInd w:val="0"/>
              <w:snapToGrid w:val="0"/>
              <w:jc w:val="center"/>
              <w:rPr>
                <w:rFonts w:hint="eastAsia" w:ascii="宋体" w:hAnsi="宋体"/>
                <w:szCs w:val="21"/>
                <w:highlight w:val="none"/>
              </w:rPr>
            </w:pPr>
            <w:r>
              <w:rPr>
                <w:rFonts w:ascii="宋体" w:hAnsi="宋体"/>
                <w:szCs w:val="21"/>
                <w:highlight w:val="none"/>
              </w:rPr>
              <w:t>1.1.3</w:t>
            </w:r>
          </w:p>
        </w:tc>
        <w:tc>
          <w:tcPr>
            <w:tcW w:w="1105" w:type="pct"/>
            <w:vAlign w:val="center"/>
          </w:tcPr>
          <w:p w14:paraId="77CBD2DA">
            <w:pPr>
              <w:adjustRightInd w:val="0"/>
              <w:snapToGrid w:val="0"/>
              <w:jc w:val="center"/>
              <w:rPr>
                <w:rFonts w:hint="eastAsia" w:ascii="宋体" w:hAnsi="宋体"/>
                <w:szCs w:val="21"/>
                <w:highlight w:val="none"/>
              </w:rPr>
            </w:pPr>
            <w:r>
              <w:rPr>
                <w:rFonts w:ascii="宋体" w:hAnsi="宋体"/>
                <w:szCs w:val="21"/>
                <w:highlight w:val="none"/>
              </w:rPr>
              <w:t>招标代理机构</w:t>
            </w:r>
          </w:p>
        </w:tc>
        <w:tc>
          <w:tcPr>
            <w:tcW w:w="3492" w:type="pct"/>
            <w:vAlign w:val="center"/>
          </w:tcPr>
          <w:p w14:paraId="5215675D">
            <w:pPr>
              <w:spacing w:line="360" w:lineRule="exact"/>
              <w:rPr>
                <w:rFonts w:hint="eastAsia" w:ascii="黑体" w:hAnsi="黑体" w:eastAsia="黑体"/>
                <w:spacing w:val="-10"/>
                <w:szCs w:val="21"/>
                <w:highlight w:val="none"/>
              </w:rPr>
            </w:pPr>
            <w:r>
              <w:rPr>
                <w:rFonts w:hint="eastAsia" w:ascii="宋体" w:hAnsi="宋体"/>
                <w:szCs w:val="21"/>
                <w:highlight w:val="none"/>
              </w:rPr>
              <w:t>招标代理机构：</w:t>
            </w:r>
            <w:r>
              <w:rPr>
                <w:rFonts w:hint="eastAsia" w:ascii="黑体" w:hAnsi="黑体" w:eastAsia="黑体"/>
                <w:szCs w:val="21"/>
                <w:highlight w:val="none"/>
              </w:rPr>
              <w:t>吉林省伟邦公路技术有限公司</w:t>
            </w:r>
          </w:p>
          <w:p w14:paraId="1A2B49C2">
            <w:pPr>
              <w:spacing w:line="360" w:lineRule="exact"/>
              <w:rPr>
                <w:rFonts w:hint="eastAsia" w:ascii="宋体" w:hAnsi="宋体"/>
                <w:szCs w:val="21"/>
                <w:highlight w:val="none"/>
              </w:rPr>
            </w:pPr>
            <w:r>
              <w:rPr>
                <w:rFonts w:hint="eastAsia" w:ascii="宋体" w:hAnsi="宋体"/>
                <w:szCs w:val="21"/>
                <w:highlight w:val="none"/>
              </w:rPr>
              <w:t>地  址：长春净月高新技术产业开发区擎天树街855号</w:t>
            </w:r>
          </w:p>
          <w:p w14:paraId="09B94B55">
            <w:pPr>
              <w:spacing w:line="360" w:lineRule="exact"/>
              <w:rPr>
                <w:rFonts w:hint="eastAsia" w:ascii="宋体" w:hAnsi="宋体"/>
                <w:szCs w:val="21"/>
                <w:highlight w:val="none"/>
              </w:rPr>
            </w:pPr>
            <w:r>
              <w:rPr>
                <w:rFonts w:hint="eastAsia" w:ascii="宋体" w:hAnsi="宋体"/>
                <w:szCs w:val="21"/>
                <w:highlight w:val="none"/>
              </w:rPr>
              <w:t xml:space="preserve">联系人：赵鑫 </w:t>
            </w:r>
            <w:r>
              <w:rPr>
                <w:rFonts w:ascii="宋体" w:hAnsi="宋体"/>
                <w:szCs w:val="21"/>
                <w:highlight w:val="none"/>
              </w:rPr>
              <w:t>刘世远</w:t>
            </w:r>
          </w:p>
          <w:p w14:paraId="55A71A56">
            <w:pPr>
              <w:spacing w:line="360" w:lineRule="exact"/>
              <w:rPr>
                <w:rFonts w:hint="eastAsia" w:ascii="宋体" w:hAnsi="宋体"/>
                <w:szCs w:val="21"/>
                <w:highlight w:val="none"/>
              </w:rPr>
            </w:pPr>
            <w:r>
              <w:rPr>
                <w:rFonts w:hint="eastAsia" w:ascii="宋体" w:hAnsi="宋体"/>
                <w:szCs w:val="21"/>
                <w:highlight w:val="none"/>
              </w:rPr>
              <w:t>电  话：</w:t>
            </w:r>
            <w:r>
              <w:rPr>
                <w:rFonts w:ascii="宋体" w:hAnsi="宋体"/>
                <w:szCs w:val="21"/>
                <w:highlight w:val="none"/>
              </w:rPr>
              <w:t xml:space="preserve"> </w:t>
            </w:r>
            <w:r>
              <w:rPr>
                <w:rFonts w:hint="eastAsia" w:ascii="宋体" w:hAnsi="宋体"/>
                <w:szCs w:val="21"/>
                <w:highlight w:val="none"/>
              </w:rPr>
              <w:t>0431</w:t>
            </w:r>
            <w:r>
              <w:rPr>
                <w:rFonts w:hint="eastAsia" w:ascii="宋体" w:hAnsi="宋体" w:cs="宋体"/>
                <w:szCs w:val="21"/>
                <w:highlight w:val="none"/>
              </w:rPr>
              <w:t>-</w:t>
            </w:r>
            <w:r>
              <w:rPr>
                <w:rFonts w:hint="eastAsia" w:ascii="宋体" w:hAnsi="宋体"/>
                <w:szCs w:val="21"/>
                <w:highlight w:val="none"/>
              </w:rPr>
              <w:t>88655555</w:t>
            </w:r>
          </w:p>
        </w:tc>
      </w:tr>
      <w:tr w14:paraId="45224BA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768" w:hRule="atLeast"/>
          <w:jc w:val="center"/>
        </w:trPr>
        <w:tc>
          <w:tcPr>
            <w:tcW w:w="403" w:type="pct"/>
            <w:vAlign w:val="center"/>
          </w:tcPr>
          <w:p w14:paraId="4A6FA3B4">
            <w:pPr>
              <w:adjustRightInd w:val="0"/>
              <w:snapToGrid w:val="0"/>
              <w:jc w:val="center"/>
              <w:rPr>
                <w:rFonts w:hint="eastAsia" w:ascii="宋体" w:hAnsi="宋体"/>
                <w:szCs w:val="21"/>
                <w:highlight w:val="none"/>
              </w:rPr>
            </w:pPr>
            <w:r>
              <w:rPr>
                <w:rFonts w:ascii="宋体" w:hAnsi="宋体"/>
                <w:szCs w:val="21"/>
                <w:highlight w:val="none"/>
              </w:rPr>
              <w:t>1.1.4</w:t>
            </w:r>
          </w:p>
        </w:tc>
        <w:tc>
          <w:tcPr>
            <w:tcW w:w="1105" w:type="pct"/>
            <w:vAlign w:val="center"/>
          </w:tcPr>
          <w:p w14:paraId="37E81DC9">
            <w:pPr>
              <w:adjustRightInd w:val="0"/>
              <w:snapToGrid w:val="0"/>
              <w:jc w:val="center"/>
              <w:rPr>
                <w:rFonts w:hint="eastAsia" w:ascii="宋体" w:hAnsi="宋体"/>
                <w:szCs w:val="21"/>
                <w:highlight w:val="none"/>
              </w:rPr>
            </w:pPr>
            <w:r>
              <w:rPr>
                <w:rFonts w:ascii="宋体" w:hAnsi="宋体"/>
                <w:szCs w:val="21"/>
                <w:highlight w:val="none"/>
              </w:rPr>
              <w:t>项目名称</w:t>
            </w:r>
          </w:p>
        </w:tc>
        <w:tc>
          <w:tcPr>
            <w:tcW w:w="3492" w:type="pct"/>
            <w:vAlign w:val="center"/>
          </w:tcPr>
          <w:p w14:paraId="416119A9">
            <w:pPr>
              <w:adjustRightInd w:val="0"/>
              <w:snapToGrid w:val="0"/>
              <w:spacing w:line="360" w:lineRule="exact"/>
              <w:rPr>
                <w:rFonts w:hint="eastAsia" w:ascii="黑体" w:hAnsi="黑体" w:eastAsia="黑体"/>
                <w:szCs w:val="21"/>
                <w:highlight w:val="none"/>
              </w:rPr>
            </w:pPr>
            <w:r>
              <w:rPr>
                <w:rFonts w:hint="eastAsia" w:ascii="黑体" w:hAnsi="黑体" w:eastAsia="黑体"/>
                <w:szCs w:val="21"/>
                <w:highlight w:val="none"/>
              </w:rPr>
              <w:t>长春至榆树高速公路建设项目10KV外电引入工程</w:t>
            </w:r>
          </w:p>
        </w:tc>
      </w:tr>
      <w:tr w14:paraId="229C862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4FBDF92C">
            <w:pPr>
              <w:adjustRightInd w:val="0"/>
              <w:snapToGrid w:val="0"/>
              <w:jc w:val="center"/>
              <w:rPr>
                <w:rFonts w:hint="eastAsia" w:ascii="宋体" w:hAnsi="宋体"/>
                <w:szCs w:val="21"/>
                <w:highlight w:val="none"/>
              </w:rPr>
            </w:pPr>
            <w:r>
              <w:rPr>
                <w:rFonts w:ascii="宋体" w:hAnsi="宋体"/>
                <w:szCs w:val="21"/>
                <w:highlight w:val="none"/>
              </w:rPr>
              <w:t>1.1.5</w:t>
            </w:r>
          </w:p>
        </w:tc>
        <w:tc>
          <w:tcPr>
            <w:tcW w:w="1105" w:type="pct"/>
            <w:vAlign w:val="center"/>
          </w:tcPr>
          <w:p w14:paraId="460CF835">
            <w:pPr>
              <w:adjustRightInd w:val="0"/>
              <w:snapToGrid w:val="0"/>
              <w:jc w:val="center"/>
              <w:rPr>
                <w:rFonts w:hint="eastAsia" w:ascii="宋体" w:hAnsi="宋体"/>
                <w:szCs w:val="21"/>
                <w:highlight w:val="none"/>
              </w:rPr>
            </w:pPr>
            <w:r>
              <w:rPr>
                <w:rFonts w:ascii="宋体" w:hAnsi="宋体"/>
                <w:szCs w:val="21"/>
                <w:highlight w:val="none"/>
              </w:rPr>
              <w:t>建设地点</w:t>
            </w:r>
          </w:p>
        </w:tc>
        <w:tc>
          <w:tcPr>
            <w:tcW w:w="3492" w:type="pct"/>
            <w:vAlign w:val="center"/>
          </w:tcPr>
          <w:p w14:paraId="7A9AE051">
            <w:pPr>
              <w:snapToGrid w:val="0"/>
              <w:spacing w:before="36" w:beforeLines="15" w:after="36" w:afterLines="15" w:line="360" w:lineRule="exact"/>
              <w:rPr>
                <w:rFonts w:hint="eastAsia" w:ascii="宋体" w:hAnsi="宋体"/>
                <w:szCs w:val="21"/>
                <w:highlight w:val="none"/>
              </w:rPr>
            </w:pPr>
            <w:r>
              <w:rPr>
                <w:rFonts w:hint="eastAsia" w:ascii="宋体" w:hAnsi="宋体"/>
                <w:szCs w:val="21"/>
                <w:highlight w:val="none"/>
              </w:rPr>
              <w:t>见招标文件第一章“招标公告”</w:t>
            </w:r>
          </w:p>
        </w:tc>
      </w:tr>
      <w:tr w14:paraId="1C5A76E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69D444D6">
            <w:pPr>
              <w:adjustRightInd w:val="0"/>
              <w:snapToGrid w:val="0"/>
              <w:jc w:val="center"/>
              <w:rPr>
                <w:rFonts w:hint="eastAsia" w:ascii="宋体" w:hAnsi="宋体"/>
                <w:szCs w:val="21"/>
                <w:highlight w:val="none"/>
              </w:rPr>
            </w:pPr>
            <w:r>
              <w:rPr>
                <w:rFonts w:ascii="宋体" w:hAnsi="宋体"/>
                <w:szCs w:val="21"/>
                <w:highlight w:val="none"/>
              </w:rPr>
              <w:t>1.2.1</w:t>
            </w:r>
          </w:p>
        </w:tc>
        <w:tc>
          <w:tcPr>
            <w:tcW w:w="1105" w:type="pct"/>
            <w:vAlign w:val="center"/>
          </w:tcPr>
          <w:p w14:paraId="0F61B371">
            <w:pPr>
              <w:adjustRightInd w:val="0"/>
              <w:snapToGrid w:val="0"/>
              <w:jc w:val="center"/>
              <w:rPr>
                <w:rFonts w:hint="eastAsia" w:ascii="宋体" w:hAnsi="宋体"/>
                <w:szCs w:val="21"/>
                <w:highlight w:val="none"/>
              </w:rPr>
            </w:pPr>
            <w:r>
              <w:rPr>
                <w:rFonts w:ascii="宋体" w:hAnsi="宋体"/>
                <w:szCs w:val="21"/>
                <w:highlight w:val="none"/>
              </w:rPr>
              <w:t>资金来源</w:t>
            </w:r>
          </w:p>
        </w:tc>
        <w:tc>
          <w:tcPr>
            <w:tcW w:w="3492" w:type="pct"/>
            <w:vAlign w:val="center"/>
          </w:tcPr>
          <w:p w14:paraId="322DA688">
            <w:pPr>
              <w:snapToGrid w:val="0"/>
              <w:spacing w:before="36" w:beforeLines="15" w:after="36" w:afterLines="15" w:line="360" w:lineRule="exact"/>
              <w:rPr>
                <w:rFonts w:hint="eastAsia" w:asciiTheme="minorEastAsia" w:hAnsiTheme="minorEastAsia" w:eastAsiaTheme="minorEastAsia"/>
                <w:szCs w:val="21"/>
                <w:highlight w:val="none"/>
              </w:rPr>
            </w:pPr>
            <w:r>
              <w:rPr>
                <w:rFonts w:hint="eastAsia" w:ascii="宋体" w:hAnsi="宋体"/>
                <w:szCs w:val="21"/>
                <w:highlight w:val="none"/>
              </w:rPr>
              <w:t>见招标文件第一章“招标公告”</w:t>
            </w:r>
          </w:p>
        </w:tc>
      </w:tr>
      <w:tr w14:paraId="0AE896B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558FC73E">
            <w:pPr>
              <w:adjustRightInd w:val="0"/>
              <w:snapToGrid w:val="0"/>
              <w:jc w:val="center"/>
              <w:rPr>
                <w:rFonts w:hint="eastAsia" w:ascii="宋体" w:hAnsi="宋体"/>
                <w:szCs w:val="21"/>
                <w:highlight w:val="none"/>
              </w:rPr>
            </w:pPr>
            <w:r>
              <w:rPr>
                <w:rFonts w:ascii="宋体" w:hAnsi="宋体"/>
                <w:szCs w:val="21"/>
                <w:highlight w:val="none"/>
              </w:rPr>
              <w:t>1.2.2</w:t>
            </w:r>
          </w:p>
        </w:tc>
        <w:tc>
          <w:tcPr>
            <w:tcW w:w="1105" w:type="pct"/>
            <w:vAlign w:val="center"/>
          </w:tcPr>
          <w:p w14:paraId="07DB7B21">
            <w:pPr>
              <w:adjustRightInd w:val="0"/>
              <w:snapToGrid w:val="0"/>
              <w:jc w:val="center"/>
              <w:rPr>
                <w:rFonts w:hint="eastAsia" w:ascii="宋体" w:hAnsi="宋体"/>
                <w:szCs w:val="21"/>
                <w:highlight w:val="none"/>
              </w:rPr>
            </w:pPr>
            <w:r>
              <w:rPr>
                <w:rFonts w:ascii="宋体" w:hAnsi="宋体"/>
                <w:szCs w:val="21"/>
                <w:highlight w:val="none"/>
              </w:rPr>
              <w:t>出资比例</w:t>
            </w:r>
          </w:p>
        </w:tc>
        <w:tc>
          <w:tcPr>
            <w:tcW w:w="3492" w:type="pct"/>
            <w:vAlign w:val="center"/>
          </w:tcPr>
          <w:p w14:paraId="0A0F6028">
            <w:pPr>
              <w:snapToGrid w:val="0"/>
              <w:spacing w:before="36" w:beforeLines="15" w:after="36" w:afterLines="15" w:line="360" w:lineRule="exact"/>
              <w:rPr>
                <w:rFonts w:hint="eastAsia" w:asciiTheme="minorEastAsia" w:hAnsiTheme="minorEastAsia" w:eastAsiaTheme="minorEastAsia"/>
                <w:szCs w:val="21"/>
                <w:highlight w:val="none"/>
              </w:rPr>
            </w:pPr>
            <w:r>
              <w:rPr>
                <w:rFonts w:hint="eastAsia" w:ascii="宋体" w:hAnsi="宋体"/>
                <w:szCs w:val="21"/>
                <w:highlight w:val="none"/>
              </w:rPr>
              <w:t>见招标文件第一章“招标公告”</w:t>
            </w:r>
          </w:p>
        </w:tc>
      </w:tr>
      <w:tr w14:paraId="2DC7509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17EB4041">
            <w:pPr>
              <w:adjustRightInd w:val="0"/>
              <w:snapToGrid w:val="0"/>
              <w:jc w:val="center"/>
              <w:rPr>
                <w:rFonts w:hint="eastAsia" w:ascii="宋体" w:hAnsi="宋体"/>
                <w:szCs w:val="21"/>
                <w:highlight w:val="none"/>
              </w:rPr>
            </w:pPr>
            <w:r>
              <w:rPr>
                <w:rFonts w:ascii="宋体" w:hAnsi="宋体"/>
                <w:szCs w:val="21"/>
                <w:highlight w:val="none"/>
              </w:rPr>
              <w:t>1.2.3</w:t>
            </w:r>
          </w:p>
        </w:tc>
        <w:tc>
          <w:tcPr>
            <w:tcW w:w="1105" w:type="pct"/>
            <w:vAlign w:val="center"/>
          </w:tcPr>
          <w:p w14:paraId="370CB98F">
            <w:pPr>
              <w:adjustRightInd w:val="0"/>
              <w:snapToGrid w:val="0"/>
              <w:jc w:val="center"/>
              <w:rPr>
                <w:rFonts w:hint="eastAsia" w:ascii="宋体" w:hAnsi="宋体"/>
                <w:szCs w:val="21"/>
                <w:highlight w:val="none"/>
              </w:rPr>
            </w:pPr>
            <w:r>
              <w:rPr>
                <w:rFonts w:ascii="宋体" w:hAnsi="宋体"/>
                <w:szCs w:val="21"/>
                <w:highlight w:val="none"/>
              </w:rPr>
              <w:t>资金落实情况</w:t>
            </w:r>
          </w:p>
        </w:tc>
        <w:tc>
          <w:tcPr>
            <w:tcW w:w="3492" w:type="pct"/>
            <w:vAlign w:val="center"/>
          </w:tcPr>
          <w:p w14:paraId="7E376269">
            <w:pPr>
              <w:snapToGrid w:val="0"/>
              <w:spacing w:line="360" w:lineRule="exact"/>
              <w:rPr>
                <w:rFonts w:hint="eastAsia" w:ascii="宋体" w:hAnsi="宋体"/>
                <w:szCs w:val="21"/>
                <w:highlight w:val="none"/>
              </w:rPr>
            </w:pPr>
            <w:r>
              <w:rPr>
                <w:rFonts w:hint="eastAsia" w:ascii="宋体" w:hAnsi="宋体"/>
                <w:szCs w:val="21"/>
                <w:highlight w:val="none"/>
              </w:rPr>
              <w:t>已落实</w:t>
            </w:r>
          </w:p>
        </w:tc>
      </w:tr>
      <w:tr w14:paraId="0BA7756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526B101C">
            <w:pPr>
              <w:adjustRightInd w:val="0"/>
              <w:snapToGrid w:val="0"/>
              <w:jc w:val="center"/>
              <w:rPr>
                <w:rFonts w:hint="eastAsia" w:ascii="宋体" w:hAnsi="宋体"/>
                <w:szCs w:val="21"/>
                <w:highlight w:val="none"/>
              </w:rPr>
            </w:pPr>
            <w:r>
              <w:rPr>
                <w:rFonts w:ascii="宋体" w:hAnsi="宋体"/>
                <w:szCs w:val="21"/>
                <w:highlight w:val="none"/>
              </w:rPr>
              <w:t>1.3.1</w:t>
            </w:r>
          </w:p>
        </w:tc>
        <w:tc>
          <w:tcPr>
            <w:tcW w:w="1105" w:type="pct"/>
            <w:vAlign w:val="center"/>
          </w:tcPr>
          <w:p w14:paraId="7055F3E9">
            <w:pPr>
              <w:adjustRightInd w:val="0"/>
              <w:snapToGrid w:val="0"/>
              <w:jc w:val="center"/>
              <w:rPr>
                <w:rFonts w:hint="eastAsia" w:ascii="宋体" w:hAnsi="宋体"/>
                <w:szCs w:val="21"/>
                <w:highlight w:val="none"/>
              </w:rPr>
            </w:pPr>
            <w:r>
              <w:rPr>
                <w:rFonts w:ascii="宋体" w:hAnsi="宋体"/>
                <w:szCs w:val="21"/>
                <w:highlight w:val="none"/>
              </w:rPr>
              <w:t>招标范围</w:t>
            </w:r>
          </w:p>
        </w:tc>
        <w:tc>
          <w:tcPr>
            <w:tcW w:w="3492" w:type="pct"/>
            <w:vAlign w:val="center"/>
          </w:tcPr>
          <w:p w14:paraId="2C7B2782">
            <w:pPr>
              <w:snapToGrid w:val="0"/>
              <w:spacing w:line="360" w:lineRule="exact"/>
              <w:rPr>
                <w:rFonts w:hint="eastAsia" w:ascii="宋体" w:hAnsi="宋体"/>
                <w:szCs w:val="21"/>
                <w:highlight w:val="none"/>
              </w:rPr>
            </w:pPr>
            <w:r>
              <w:rPr>
                <w:rFonts w:hint="eastAsia" w:ascii="宋体" w:hAnsi="宋体"/>
                <w:szCs w:val="21"/>
                <w:highlight w:val="none"/>
              </w:rPr>
              <w:t>见招标文件第一章“招标公告”</w:t>
            </w:r>
          </w:p>
        </w:tc>
      </w:tr>
      <w:tr w14:paraId="3691A3E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1080" w:hRule="atLeast"/>
          <w:jc w:val="center"/>
        </w:trPr>
        <w:tc>
          <w:tcPr>
            <w:tcW w:w="403" w:type="pct"/>
            <w:vAlign w:val="center"/>
          </w:tcPr>
          <w:p w14:paraId="3250B037">
            <w:pPr>
              <w:adjustRightInd w:val="0"/>
              <w:snapToGrid w:val="0"/>
              <w:jc w:val="center"/>
              <w:rPr>
                <w:rFonts w:hint="eastAsia" w:ascii="宋体" w:hAnsi="宋体"/>
                <w:szCs w:val="21"/>
                <w:highlight w:val="none"/>
              </w:rPr>
            </w:pPr>
            <w:r>
              <w:rPr>
                <w:rFonts w:ascii="宋体" w:hAnsi="宋体"/>
                <w:szCs w:val="21"/>
                <w:highlight w:val="none"/>
              </w:rPr>
              <w:t>1.3.2</w:t>
            </w:r>
          </w:p>
        </w:tc>
        <w:tc>
          <w:tcPr>
            <w:tcW w:w="1105" w:type="pct"/>
            <w:vAlign w:val="center"/>
          </w:tcPr>
          <w:p w14:paraId="5C84EABF">
            <w:pPr>
              <w:adjustRightInd w:val="0"/>
              <w:snapToGrid w:val="0"/>
              <w:jc w:val="center"/>
              <w:rPr>
                <w:rFonts w:hint="eastAsia" w:ascii="宋体" w:hAnsi="宋体"/>
                <w:szCs w:val="21"/>
                <w:highlight w:val="none"/>
              </w:rPr>
            </w:pPr>
            <w:r>
              <w:rPr>
                <w:rFonts w:ascii="宋体" w:hAnsi="宋体"/>
                <w:szCs w:val="21"/>
                <w:highlight w:val="none"/>
              </w:rPr>
              <w:t>计划工期</w:t>
            </w:r>
          </w:p>
        </w:tc>
        <w:tc>
          <w:tcPr>
            <w:tcW w:w="3492" w:type="pct"/>
            <w:vAlign w:val="center"/>
          </w:tcPr>
          <w:p w14:paraId="722E8723">
            <w:pPr>
              <w:pStyle w:val="43"/>
              <w:adjustRightInd w:val="0"/>
              <w:snapToGrid w:val="0"/>
              <w:spacing w:after="0" w:line="360" w:lineRule="exact"/>
              <w:ind w:left="0" w:leftChars="0"/>
              <w:rPr>
                <w:rFonts w:hint="eastAsia" w:ascii="宋体" w:hAnsi="宋体" w:cs="宋体"/>
                <w:sz w:val="21"/>
                <w:szCs w:val="21"/>
                <w:highlight w:val="none"/>
                <w:u w:val="single"/>
              </w:rPr>
            </w:pPr>
            <w:r>
              <w:rPr>
                <w:rFonts w:hint="eastAsia" w:ascii="黑体" w:hAnsi="黑体" w:eastAsia="黑体" w:cs="宋体"/>
                <w:sz w:val="21"/>
                <w:szCs w:val="21"/>
                <w:highlight w:val="none"/>
              </w:rPr>
              <w:t>计划工期：</w:t>
            </w:r>
            <w:r>
              <w:rPr>
                <w:rFonts w:ascii="黑体" w:hAnsi="黑体" w:eastAsia="黑体" w:cs="宋体"/>
                <w:sz w:val="21"/>
                <w:szCs w:val="21"/>
                <w:highlight w:val="none"/>
                <w:u w:val="single"/>
              </w:rPr>
              <w:t>273日历天</w:t>
            </w:r>
          </w:p>
          <w:p w14:paraId="7E033D2D">
            <w:pPr>
              <w:pStyle w:val="43"/>
              <w:adjustRightInd w:val="0"/>
              <w:snapToGrid w:val="0"/>
              <w:spacing w:after="0" w:line="360" w:lineRule="exact"/>
              <w:ind w:left="0" w:leftChars="0"/>
              <w:rPr>
                <w:rFonts w:hint="eastAsia" w:ascii="黑体" w:hAnsi="黑体" w:eastAsia="黑体" w:cs="宋体"/>
                <w:sz w:val="21"/>
                <w:szCs w:val="21"/>
                <w:highlight w:val="none"/>
              </w:rPr>
            </w:pPr>
            <w:r>
              <w:rPr>
                <w:rFonts w:ascii="黑体" w:hAnsi="黑体" w:eastAsia="黑体" w:cs="宋体"/>
                <w:sz w:val="21"/>
                <w:szCs w:val="21"/>
                <w:highlight w:val="none"/>
              </w:rPr>
              <w:t>计划开工日期：</w:t>
            </w:r>
            <w:r>
              <w:rPr>
                <w:rFonts w:hint="eastAsia" w:ascii="黑体" w:hAnsi="黑体" w:eastAsia="黑体" w:cs="宋体"/>
                <w:sz w:val="21"/>
                <w:szCs w:val="21"/>
                <w:highlight w:val="none"/>
                <w:u w:val="single"/>
              </w:rPr>
              <w:t>2026年12月1日</w:t>
            </w:r>
          </w:p>
          <w:p w14:paraId="5D4EE41A">
            <w:pPr>
              <w:pStyle w:val="43"/>
              <w:adjustRightInd w:val="0"/>
              <w:snapToGrid w:val="0"/>
              <w:spacing w:after="0" w:line="360" w:lineRule="exact"/>
              <w:ind w:left="0" w:leftChars="0"/>
              <w:rPr>
                <w:rFonts w:hint="eastAsia" w:ascii="宋体" w:hAnsi="宋体"/>
                <w:szCs w:val="21"/>
                <w:highlight w:val="none"/>
              </w:rPr>
            </w:pPr>
            <w:r>
              <w:rPr>
                <w:rFonts w:ascii="黑体" w:hAnsi="黑体" w:eastAsia="黑体" w:cs="宋体"/>
                <w:sz w:val="21"/>
                <w:szCs w:val="21"/>
                <w:highlight w:val="none"/>
              </w:rPr>
              <w:t>计划竣工日期：</w:t>
            </w:r>
            <w:r>
              <w:rPr>
                <w:rFonts w:hint="eastAsia" w:ascii="黑体" w:hAnsi="黑体" w:eastAsia="黑体" w:cs="宋体"/>
                <w:sz w:val="21"/>
                <w:szCs w:val="21"/>
                <w:highlight w:val="none"/>
                <w:u w:val="single"/>
              </w:rPr>
              <w:t>2027年8月31日</w:t>
            </w:r>
          </w:p>
        </w:tc>
      </w:tr>
      <w:tr w14:paraId="648AB03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0C4A4C7C">
            <w:pPr>
              <w:adjustRightInd w:val="0"/>
              <w:snapToGrid w:val="0"/>
              <w:jc w:val="center"/>
              <w:rPr>
                <w:rFonts w:hint="eastAsia" w:ascii="宋体" w:hAnsi="宋体"/>
                <w:szCs w:val="21"/>
                <w:highlight w:val="none"/>
              </w:rPr>
            </w:pPr>
            <w:r>
              <w:rPr>
                <w:rFonts w:ascii="宋体" w:hAnsi="宋体"/>
                <w:szCs w:val="21"/>
                <w:highlight w:val="none"/>
              </w:rPr>
              <w:t>1.3.3</w:t>
            </w:r>
          </w:p>
        </w:tc>
        <w:tc>
          <w:tcPr>
            <w:tcW w:w="1105" w:type="pct"/>
            <w:vAlign w:val="center"/>
          </w:tcPr>
          <w:p w14:paraId="1964E9EC">
            <w:pPr>
              <w:adjustRightInd w:val="0"/>
              <w:snapToGrid w:val="0"/>
              <w:jc w:val="center"/>
              <w:rPr>
                <w:rFonts w:hint="eastAsia" w:ascii="宋体" w:hAnsi="宋体"/>
                <w:szCs w:val="21"/>
                <w:highlight w:val="none"/>
              </w:rPr>
            </w:pPr>
            <w:r>
              <w:rPr>
                <w:rFonts w:ascii="宋体" w:hAnsi="宋体"/>
                <w:szCs w:val="21"/>
                <w:highlight w:val="none"/>
              </w:rPr>
              <w:t>质量要求</w:t>
            </w:r>
          </w:p>
        </w:tc>
        <w:tc>
          <w:tcPr>
            <w:tcW w:w="3492" w:type="pct"/>
            <w:vAlign w:val="center"/>
          </w:tcPr>
          <w:p w14:paraId="4F6EB10A">
            <w:pPr>
              <w:adjustRightInd w:val="0"/>
              <w:snapToGrid w:val="0"/>
              <w:spacing w:line="360" w:lineRule="exact"/>
              <w:rPr>
                <w:rFonts w:hint="eastAsia" w:ascii="宋体" w:hAnsi="宋体"/>
                <w:szCs w:val="21"/>
                <w:highlight w:val="none"/>
              </w:rPr>
            </w:pPr>
            <w:r>
              <w:rPr>
                <w:rFonts w:hint="eastAsia" w:ascii="宋体" w:hAnsi="宋体"/>
                <w:kern w:val="15"/>
                <w:szCs w:val="21"/>
                <w:highlight w:val="none"/>
              </w:rPr>
              <w:t>符合国家、行业、政府相关职能部门等验收标准的合格工程。</w:t>
            </w:r>
          </w:p>
        </w:tc>
      </w:tr>
      <w:tr w14:paraId="16EFAD0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356" w:hRule="atLeast"/>
          <w:jc w:val="center"/>
        </w:trPr>
        <w:tc>
          <w:tcPr>
            <w:tcW w:w="403" w:type="pct"/>
            <w:vAlign w:val="center"/>
          </w:tcPr>
          <w:p w14:paraId="3796F0D1">
            <w:pPr>
              <w:adjustRightInd w:val="0"/>
              <w:snapToGrid w:val="0"/>
              <w:jc w:val="center"/>
              <w:rPr>
                <w:rFonts w:hint="eastAsia" w:ascii="宋体" w:hAnsi="宋体"/>
                <w:szCs w:val="21"/>
                <w:highlight w:val="none"/>
                <w:vertAlign w:val="superscript"/>
              </w:rPr>
            </w:pPr>
            <w:r>
              <w:rPr>
                <w:rFonts w:ascii="宋体" w:hAnsi="宋体"/>
                <w:szCs w:val="21"/>
                <w:highlight w:val="none"/>
              </w:rPr>
              <w:t>1.4.</w:t>
            </w:r>
            <w:r>
              <w:rPr>
                <w:rFonts w:hint="eastAsia" w:ascii="宋体" w:hAnsi="宋体"/>
                <w:szCs w:val="21"/>
                <w:highlight w:val="none"/>
              </w:rPr>
              <w:t>1</w:t>
            </w:r>
          </w:p>
        </w:tc>
        <w:tc>
          <w:tcPr>
            <w:tcW w:w="1105" w:type="pct"/>
            <w:vAlign w:val="center"/>
          </w:tcPr>
          <w:p w14:paraId="34A15CAA">
            <w:pPr>
              <w:adjustRightInd w:val="0"/>
              <w:snapToGrid w:val="0"/>
              <w:spacing w:line="360" w:lineRule="exact"/>
              <w:jc w:val="center"/>
              <w:rPr>
                <w:rFonts w:hint="eastAsia" w:ascii="宋体" w:hAnsi="宋体"/>
                <w:szCs w:val="21"/>
                <w:highlight w:val="none"/>
              </w:rPr>
            </w:pPr>
            <w:r>
              <w:rPr>
                <w:rFonts w:ascii="宋体" w:hAnsi="宋体"/>
                <w:szCs w:val="21"/>
                <w:highlight w:val="none"/>
              </w:rPr>
              <w:t>投标人资质条件、</w:t>
            </w:r>
          </w:p>
          <w:p w14:paraId="2D6CBE53">
            <w:pPr>
              <w:adjustRightInd w:val="0"/>
              <w:snapToGrid w:val="0"/>
              <w:spacing w:line="360" w:lineRule="exact"/>
              <w:jc w:val="center"/>
              <w:rPr>
                <w:rFonts w:hint="eastAsia" w:ascii="宋体" w:hAnsi="宋体"/>
                <w:szCs w:val="21"/>
                <w:highlight w:val="none"/>
              </w:rPr>
            </w:pPr>
            <w:r>
              <w:rPr>
                <w:rFonts w:ascii="宋体" w:hAnsi="宋体"/>
                <w:szCs w:val="21"/>
                <w:highlight w:val="none"/>
              </w:rPr>
              <w:t>能力</w:t>
            </w:r>
            <w:r>
              <w:rPr>
                <w:rFonts w:hint="eastAsia" w:ascii="宋体" w:hAnsi="宋体"/>
                <w:szCs w:val="21"/>
                <w:highlight w:val="none"/>
              </w:rPr>
              <w:t>和信誉</w:t>
            </w:r>
          </w:p>
        </w:tc>
        <w:tc>
          <w:tcPr>
            <w:tcW w:w="3492" w:type="pct"/>
            <w:vAlign w:val="center"/>
          </w:tcPr>
          <w:p w14:paraId="3FCE4474">
            <w:pPr>
              <w:adjustRightInd w:val="0"/>
              <w:snapToGrid w:val="0"/>
              <w:spacing w:line="360" w:lineRule="exact"/>
              <w:ind w:firstLine="420" w:firstLineChars="200"/>
              <w:rPr>
                <w:rFonts w:hint="eastAsia" w:asciiTheme="minorEastAsia" w:hAnsiTheme="minorEastAsia" w:eastAsiaTheme="minorEastAsia"/>
                <w:szCs w:val="21"/>
                <w:highlight w:val="none"/>
              </w:rPr>
            </w:pPr>
            <w:bookmarkStart w:id="17" w:name="_Hlk208239665"/>
            <w:r>
              <w:rPr>
                <w:rFonts w:hint="eastAsia" w:ascii="黑体" w:hAnsi="黑体" w:eastAsia="黑体"/>
                <w:szCs w:val="21"/>
                <w:highlight w:val="none"/>
              </w:rPr>
              <w:t>1</w:t>
            </w:r>
            <w:r>
              <w:rPr>
                <w:rFonts w:ascii="黑体" w:hAnsi="黑体" w:eastAsia="黑体"/>
                <w:szCs w:val="21"/>
                <w:highlight w:val="none"/>
              </w:rPr>
              <w:t>.资质条件：</w:t>
            </w:r>
            <w:r>
              <w:rPr>
                <w:rFonts w:hint="eastAsia" w:asciiTheme="minorEastAsia" w:hAnsiTheme="minorEastAsia" w:eastAsiaTheme="minorEastAsia"/>
                <w:szCs w:val="21"/>
                <w:highlight w:val="none"/>
              </w:rPr>
              <w:t>具有输变电工程专业承包三级及以上资质或电力工程施工总承包三级及以上资质，同时具有承装类《承装（修、试）电力设施许可证》和《安全生产许可证》。</w:t>
            </w:r>
          </w:p>
          <w:p w14:paraId="52693054">
            <w:pPr>
              <w:adjustRightInd w:val="0"/>
              <w:snapToGrid w:val="0"/>
              <w:spacing w:line="360" w:lineRule="exact"/>
              <w:ind w:firstLine="420" w:firstLineChars="200"/>
              <w:rPr>
                <w:rFonts w:hint="eastAsia" w:asciiTheme="minorEastAsia" w:hAnsiTheme="minorEastAsia" w:eastAsiaTheme="minorEastAsia"/>
                <w:szCs w:val="21"/>
                <w:highlight w:val="none"/>
              </w:rPr>
            </w:pPr>
            <w:r>
              <w:rPr>
                <w:rFonts w:ascii="黑体" w:hAnsi="黑体" w:eastAsia="黑体"/>
                <w:szCs w:val="21"/>
                <w:highlight w:val="none"/>
              </w:rPr>
              <w:t>2.财务要求：</w:t>
            </w:r>
            <w:r>
              <w:rPr>
                <w:rFonts w:hint="eastAsia" w:ascii="宋体" w:hAnsi="宋体"/>
                <w:kern w:val="0"/>
                <w:szCs w:val="21"/>
                <w:highlight w:val="none"/>
                <w:lang w:val="zh-CN"/>
              </w:rPr>
              <w:t>投标人近三年（2023年～投标截止时间）具有良好的商业信誉和健全的财务会计制度。</w:t>
            </w:r>
          </w:p>
          <w:p w14:paraId="0E062E25">
            <w:pPr>
              <w:adjustRightInd w:val="0"/>
              <w:snapToGrid w:val="0"/>
              <w:spacing w:line="360" w:lineRule="exact"/>
              <w:ind w:firstLine="420" w:firstLineChars="200"/>
              <w:rPr>
                <w:rFonts w:hint="eastAsia" w:ascii="黑体" w:hAnsi="黑体" w:eastAsia="黑体"/>
                <w:szCs w:val="21"/>
                <w:highlight w:val="none"/>
              </w:rPr>
            </w:pPr>
            <w:r>
              <w:rPr>
                <w:rFonts w:ascii="黑体" w:hAnsi="黑体" w:eastAsia="黑体"/>
                <w:szCs w:val="21"/>
                <w:highlight w:val="none"/>
              </w:rPr>
              <w:t>3.业绩要求：</w:t>
            </w:r>
            <w:r>
              <w:rPr>
                <w:rFonts w:hint="eastAsia" w:asciiTheme="minorEastAsia" w:hAnsiTheme="minorEastAsia" w:eastAsiaTheme="minorEastAsia"/>
                <w:highlight w:val="none"/>
                <w:lang w:val="zh-CN"/>
              </w:rPr>
              <w:t>2023年1月1日至投标截止时间（以竣工时间为准）至少完成过1个已验收合格的单项合同额2000万元及以上送电线路工</w:t>
            </w:r>
            <w:r>
              <w:rPr>
                <w:rFonts w:asciiTheme="minorEastAsia" w:hAnsiTheme="minorEastAsia" w:eastAsiaTheme="minorEastAsia"/>
                <w:highlight w:val="none"/>
                <w:lang w:val="zh-CN"/>
              </w:rPr>
              <w:t>程的施工业绩</w:t>
            </w:r>
            <w:r>
              <w:rPr>
                <w:rFonts w:hint="eastAsia" w:asciiTheme="minorEastAsia" w:hAnsiTheme="minorEastAsia" w:eastAsiaTheme="minorEastAsia"/>
                <w:highlight w:val="none"/>
                <w:lang w:val="zh-CN"/>
              </w:rPr>
              <w:t>。</w:t>
            </w:r>
          </w:p>
          <w:p w14:paraId="1E24FC56">
            <w:pPr>
              <w:widowControl/>
              <w:spacing w:line="360" w:lineRule="exact"/>
              <w:ind w:firstLine="420" w:firstLineChars="200"/>
              <w:jc w:val="left"/>
              <w:rPr>
                <w:rFonts w:hint="eastAsia" w:ascii="黑体" w:hAnsi="黑体" w:eastAsia="黑体"/>
                <w:szCs w:val="21"/>
                <w:highlight w:val="none"/>
              </w:rPr>
            </w:pPr>
            <w:r>
              <w:rPr>
                <w:rFonts w:ascii="黑体" w:hAnsi="黑体" w:eastAsia="黑体"/>
                <w:szCs w:val="21"/>
                <w:highlight w:val="none"/>
              </w:rPr>
              <w:t>4.</w:t>
            </w:r>
            <w:r>
              <w:rPr>
                <w:rFonts w:hint="eastAsia" w:ascii="黑体" w:hAnsi="黑体" w:eastAsia="黑体"/>
                <w:szCs w:val="21"/>
                <w:highlight w:val="none"/>
              </w:rPr>
              <w:t>信誉要求：</w:t>
            </w:r>
          </w:p>
          <w:p w14:paraId="0BF1403E">
            <w:pPr>
              <w:widowControl/>
              <w:spacing w:line="360" w:lineRule="exact"/>
              <w:jc w:val="left"/>
              <w:rPr>
                <w:rFonts w:hint="eastAsia" w:ascii="宋体" w:hAnsi="宋体" w:cs="宋体"/>
                <w:kern w:val="0"/>
                <w:szCs w:val="21"/>
                <w:highlight w:val="none"/>
              </w:rPr>
            </w:pPr>
            <w:r>
              <w:rPr>
                <w:rFonts w:hint="eastAsia" w:ascii="宋体" w:hAnsi="宋体" w:cs="宋体"/>
                <w:kern w:val="0"/>
                <w:szCs w:val="21"/>
                <w:highlight w:val="none"/>
              </w:rPr>
              <w:t>（1）在国家企业信用信息公示系统（www.gsxt.gov.cn）中未被列入严重违法失信企业名单；</w:t>
            </w:r>
          </w:p>
          <w:p w14:paraId="413A4B90">
            <w:pPr>
              <w:widowControl/>
              <w:spacing w:line="360" w:lineRule="exact"/>
              <w:jc w:val="left"/>
              <w:rPr>
                <w:rFonts w:hint="eastAsia" w:ascii="宋体" w:hAnsi="宋体" w:cs="宋体"/>
                <w:kern w:val="0"/>
                <w:szCs w:val="21"/>
                <w:highlight w:val="none"/>
              </w:rPr>
            </w:pPr>
            <w:r>
              <w:rPr>
                <w:rFonts w:hint="eastAsia" w:ascii="宋体" w:hAnsi="宋体" w:cs="宋体"/>
                <w:kern w:val="0"/>
                <w:szCs w:val="21"/>
                <w:highlight w:val="none"/>
              </w:rPr>
              <w:t>（2）在“信用中国”网站（www.creditchina.gov.cn）中未被列入失信被执行人名单；</w:t>
            </w:r>
          </w:p>
          <w:p w14:paraId="7471A043">
            <w:pPr>
              <w:widowControl/>
              <w:spacing w:line="360" w:lineRule="exact"/>
              <w:jc w:val="left"/>
              <w:rPr>
                <w:rFonts w:hint="eastAsia" w:ascii="宋体" w:hAnsi="宋体" w:cs="宋体"/>
                <w:kern w:val="0"/>
                <w:szCs w:val="21"/>
                <w:highlight w:val="none"/>
              </w:rPr>
            </w:pPr>
            <w:r>
              <w:rPr>
                <w:rFonts w:hint="eastAsia" w:ascii="宋体" w:hAnsi="宋体" w:cs="宋体"/>
                <w:kern w:val="0"/>
                <w:szCs w:val="21"/>
                <w:highlight w:val="none"/>
              </w:rPr>
              <w:t>（3）在近年内（2023年1月1日至投标截止时间）投标人及其法定代表人、拟委任的项目经理未在“中国裁判文书网”</w:t>
            </w:r>
            <w:r>
              <w:rPr>
                <w:rFonts w:hint="eastAsia" w:ascii="宋体" w:hAnsi="宋体" w:cs="宋体"/>
                <w:szCs w:val="21"/>
                <w:highlight w:val="none"/>
                <w:lang w:val="zh-CN"/>
              </w:rPr>
              <w:t xml:space="preserve"> (wenshu.court.gov.cn)</w:t>
            </w:r>
            <w:r>
              <w:rPr>
                <w:rFonts w:hint="eastAsia" w:ascii="宋体" w:hAnsi="宋体" w:cs="宋体"/>
                <w:kern w:val="0"/>
                <w:szCs w:val="21"/>
                <w:highlight w:val="none"/>
              </w:rPr>
              <w:t>上有行贿犯罪记录；</w:t>
            </w:r>
          </w:p>
          <w:p w14:paraId="461E1915">
            <w:pPr>
              <w:widowControl/>
              <w:spacing w:line="360" w:lineRule="exact"/>
              <w:jc w:val="left"/>
              <w:rPr>
                <w:rFonts w:hint="eastAsia" w:ascii="宋体" w:hAnsi="宋体" w:cs="宋体"/>
                <w:kern w:val="0"/>
                <w:szCs w:val="21"/>
                <w:highlight w:val="none"/>
              </w:rPr>
            </w:pPr>
            <w:r>
              <w:rPr>
                <w:rFonts w:hint="eastAsia" w:ascii="宋体" w:hAnsi="宋体" w:cs="宋体"/>
                <w:kern w:val="0"/>
                <w:szCs w:val="21"/>
                <w:highlight w:val="none"/>
              </w:rPr>
              <w:t>（4）拒绝列入政府取消投标资格记录期间的企业或个人投标。</w:t>
            </w:r>
          </w:p>
          <w:p w14:paraId="0BB52674">
            <w:pPr>
              <w:adjustRightInd w:val="0"/>
              <w:snapToGrid w:val="0"/>
              <w:spacing w:line="360" w:lineRule="exact"/>
              <w:ind w:firstLine="420" w:firstLineChars="200"/>
              <w:rPr>
                <w:rFonts w:hint="eastAsia" w:asciiTheme="minorEastAsia" w:hAnsiTheme="minorEastAsia" w:eastAsiaTheme="minorEastAsia"/>
                <w:szCs w:val="21"/>
                <w:highlight w:val="none"/>
              </w:rPr>
            </w:pPr>
            <w:r>
              <w:rPr>
                <w:rFonts w:ascii="黑体" w:hAnsi="黑体" w:eastAsia="黑体"/>
                <w:szCs w:val="21"/>
                <w:highlight w:val="none"/>
              </w:rPr>
              <w:t>5.</w:t>
            </w:r>
            <w:r>
              <w:rPr>
                <w:rFonts w:hint="eastAsia" w:ascii="黑体" w:hAnsi="黑体" w:eastAsia="黑体"/>
                <w:szCs w:val="21"/>
                <w:highlight w:val="none"/>
              </w:rPr>
              <w:t>项目经理要求：</w:t>
            </w:r>
            <w:r>
              <w:rPr>
                <w:rFonts w:hint="eastAsia" w:ascii="宋体" w:hAnsi="宋体"/>
                <w:szCs w:val="21"/>
                <w:highlight w:val="none"/>
              </w:rPr>
              <w:t>拟派项目经理须</w:t>
            </w:r>
            <w:r>
              <w:rPr>
                <w:rFonts w:hint="eastAsia" w:asciiTheme="minorEastAsia" w:hAnsiTheme="minorEastAsia" w:eastAsiaTheme="minorEastAsia"/>
                <w:szCs w:val="21"/>
                <w:highlight w:val="none"/>
              </w:rPr>
              <w:t>具有现注册在投标人单位的有效的“机电工程”专业一级建造师注册证书，且无在建工程；</w:t>
            </w:r>
            <w:r>
              <w:rPr>
                <w:rFonts w:hint="eastAsia" w:asciiTheme="minorEastAsia" w:hAnsiTheme="minorEastAsia" w:eastAsiaTheme="minorEastAsia"/>
                <w:color w:val="333333"/>
                <w:szCs w:val="21"/>
                <w:highlight w:val="none"/>
              </w:rPr>
              <w:t>具有省级住房和城乡建设行政主管部门颁发的《安全生产考核合格证书》（B类，单位名称与投标人名称一致）。</w:t>
            </w:r>
          </w:p>
          <w:p w14:paraId="3F90F23A">
            <w:pPr>
              <w:spacing w:line="360" w:lineRule="exact"/>
              <w:ind w:firstLine="420" w:firstLineChars="200"/>
              <w:jc w:val="left"/>
              <w:rPr>
                <w:rFonts w:hint="eastAsia" w:asciiTheme="majorEastAsia" w:hAnsiTheme="majorEastAsia" w:eastAsiaTheme="majorEastAsia"/>
                <w:szCs w:val="21"/>
                <w:highlight w:val="none"/>
              </w:rPr>
            </w:pPr>
            <w:r>
              <w:rPr>
                <w:rFonts w:hint="eastAsia" w:ascii="黑体" w:hAnsi="黑体" w:eastAsia="黑体"/>
                <w:szCs w:val="21"/>
                <w:highlight w:val="none"/>
              </w:rPr>
              <w:t>6</w:t>
            </w:r>
            <w:r>
              <w:rPr>
                <w:rFonts w:ascii="黑体" w:hAnsi="黑体" w:eastAsia="黑体"/>
                <w:szCs w:val="21"/>
                <w:highlight w:val="none"/>
              </w:rPr>
              <w:t>.</w:t>
            </w:r>
            <w:r>
              <w:rPr>
                <w:rFonts w:hint="eastAsia" w:ascii="黑体" w:hAnsi="黑体" w:eastAsia="黑体"/>
                <w:szCs w:val="21"/>
                <w:highlight w:val="none"/>
              </w:rPr>
              <w:t>其他要求（其他</w:t>
            </w:r>
            <w:r>
              <w:rPr>
                <w:rFonts w:hint="eastAsia" w:ascii="黑体" w:hAnsi="黑体" w:eastAsia="黑体"/>
                <w:color w:val="000000"/>
                <w:kern w:val="44"/>
                <w:szCs w:val="21"/>
                <w:highlight w:val="none"/>
              </w:rPr>
              <w:t>主要项目管理人员最低要求）：</w:t>
            </w:r>
          </w:p>
          <w:p w14:paraId="36A97CDA">
            <w:pPr>
              <w:spacing w:line="20" w:lineRule="exact"/>
              <w:rPr>
                <w:color w:val="000000"/>
                <w:szCs w:val="21"/>
                <w:highlight w:val="none"/>
              </w:rPr>
            </w:pPr>
          </w:p>
          <w:p w14:paraId="1F27929C">
            <w:pPr>
              <w:adjustRightInd w:val="0"/>
              <w:snapToGrid w:val="0"/>
              <w:spacing w:line="3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技术负责人：1人，投标人自有人员，具有电力相关专业中级及以上技术职称；</w:t>
            </w:r>
          </w:p>
          <w:p w14:paraId="4C30353A">
            <w:pPr>
              <w:adjustRightInd w:val="0"/>
              <w:snapToGrid w:val="0"/>
              <w:spacing w:line="360" w:lineRule="exact"/>
              <w:ind w:firstLine="420" w:firstLineChars="200"/>
              <w:rPr>
                <w:rFonts w:hint="eastAsia" w:ascii="宋体" w:hAnsi="宋体"/>
                <w:color w:val="000000"/>
                <w:szCs w:val="21"/>
                <w:highlight w:val="none"/>
              </w:rPr>
            </w:pPr>
            <w:r>
              <w:rPr>
                <w:rFonts w:ascii="宋体" w:hAnsi="宋体"/>
                <w:color w:val="000000"/>
                <w:szCs w:val="21"/>
                <w:highlight w:val="none"/>
              </w:rPr>
              <w:t>质检</w:t>
            </w:r>
            <w:r>
              <w:rPr>
                <w:rFonts w:hint="eastAsia" w:ascii="宋体" w:hAnsi="宋体"/>
                <w:color w:val="000000"/>
                <w:szCs w:val="21"/>
                <w:highlight w:val="none"/>
              </w:rPr>
              <w:t>员：1人，投标人自有人员，具有电力相关专业中级及以上技术职称或相关岗位资格证书。</w:t>
            </w:r>
          </w:p>
          <w:p w14:paraId="7076C1A4">
            <w:pPr>
              <w:adjustRightInd w:val="0"/>
              <w:snapToGrid w:val="0"/>
              <w:spacing w:line="360" w:lineRule="exact"/>
              <w:ind w:firstLine="420" w:firstLineChars="200"/>
              <w:rPr>
                <w:rFonts w:hint="eastAsia" w:ascii="宋体" w:hAnsi="宋体"/>
                <w:szCs w:val="21"/>
                <w:highlight w:val="none"/>
              </w:rPr>
            </w:pPr>
            <w:r>
              <w:rPr>
                <w:rFonts w:ascii="宋体" w:hAnsi="宋体"/>
                <w:color w:val="000000"/>
                <w:szCs w:val="21"/>
                <w:highlight w:val="none"/>
              </w:rPr>
              <w:t>专职安全员：</w:t>
            </w:r>
            <w:r>
              <w:rPr>
                <w:rFonts w:hint="eastAsia" w:ascii="宋体" w:hAnsi="宋体"/>
                <w:color w:val="000000"/>
                <w:szCs w:val="21"/>
                <w:highlight w:val="none"/>
              </w:rPr>
              <w:t>1人，投标人自有人员，</w:t>
            </w:r>
            <w:r>
              <w:rPr>
                <w:rFonts w:ascii="宋体" w:hAnsi="宋体"/>
                <w:color w:val="000000"/>
                <w:szCs w:val="21"/>
                <w:highlight w:val="none"/>
              </w:rPr>
              <w:t>具有建设</w:t>
            </w:r>
            <w:r>
              <w:rPr>
                <w:rFonts w:hint="eastAsia" w:ascii="宋体" w:hAnsi="宋体"/>
                <w:color w:val="000000"/>
                <w:szCs w:val="21"/>
                <w:highlight w:val="none"/>
              </w:rPr>
              <w:t>主管部门</w:t>
            </w:r>
            <w:r>
              <w:rPr>
                <w:rFonts w:ascii="宋体" w:hAnsi="宋体"/>
                <w:color w:val="000000"/>
                <w:szCs w:val="21"/>
                <w:highlight w:val="none"/>
              </w:rPr>
              <w:t>颁发的</w:t>
            </w:r>
            <w:r>
              <w:rPr>
                <w:rFonts w:hint="eastAsia" w:ascii="宋体" w:hAnsi="宋体"/>
                <w:color w:val="000000"/>
                <w:szCs w:val="21"/>
                <w:highlight w:val="none"/>
              </w:rPr>
              <w:t>C类</w:t>
            </w:r>
            <w:r>
              <w:rPr>
                <w:rFonts w:ascii="宋体" w:hAnsi="宋体"/>
                <w:color w:val="000000"/>
                <w:szCs w:val="21"/>
                <w:highlight w:val="none"/>
              </w:rPr>
              <w:t>安全生产考核合格证书。</w:t>
            </w:r>
            <w:bookmarkEnd w:id="17"/>
          </w:p>
        </w:tc>
      </w:tr>
      <w:tr w14:paraId="71AD443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03CE00E0">
            <w:pPr>
              <w:adjustRightInd w:val="0"/>
              <w:snapToGrid w:val="0"/>
              <w:spacing w:line="360" w:lineRule="exact"/>
              <w:jc w:val="center"/>
              <w:rPr>
                <w:rFonts w:hint="eastAsia" w:ascii="宋体" w:hAnsi="宋体"/>
                <w:szCs w:val="21"/>
                <w:highlight w:val="none"/>
              </w:rPr>
            </w:pPr>
            <w:r>
              <w:rPr>
                <w:rFonts w:ascii="宋体" w:hAnsi="宋体"/>
                <w:szCs w:val="21"/>
                <w:highlight w:val="none"/>
              </w:rPr>
              <w:t>1.4.2</w:t>
            </w:r>
          </w:p>
        </w:tc>
        <w:tc>
          <w:tcPr>
            <w:tcW w:w="1105" w:type="pct"/>
            <w:vAlign w:val="center"/>
          </w:tcPr>
          <w:p w14:paraId="1104333F">
            <w:pPr>
              <w:adjustRightInd w:val="0"/>
              <w:snapToGrid w:val="0"/>
              <w:spacing w:line="360" w:lineRule="exact"/>
              <w:jc w:val="center"/>
              <w:rPr>
                <w:rFonts w:hint="eastAsia" w:ascii="宋体" w:hAnsi="宋体"/>
                <w:szCs w:val="21"/>
                <w:highlight w:val="none"/>
              </w:rPr>
            </w:pPr>
            <w:r>
              <w:rPr>
                <w:rFonts w:ascii="宋体" w:hAnsi="宋体"/>
                <w:szCs w:val="21"/>
                <w:highlight w:val="none"/>
              </w:rPr>
              <w:t>是否接受联合体</w:t>
            </w:r>
          </w:p>
          <w:p w14:paraId="692EAF42">
            <w:pPr>
              <w:adjustRightInd w:val="0"/>
              <w:snapToGrid w:val="0"/>
              <w:spacing w:line="360" w:lineRule="exact"/>
              <w:jc w:val="center"/>
              <w:rPr>
                <w:rFonts w:hint="eastAsia" w:ascii="宋体" w:hAnsi="宋体"/>
                <w:szCs w:val="21"/>
                <w:highlight w:val="none"/>
              </w:rPr>
            </w:pPr>
            <w:r>
              <w:rPr>
                <w:rFonts w:ascii="宋体" w:hAnsi="宋体"/>
                <w:szCs w:val="21"/>
                <w:highlight w:val="none"/>
              </w:rPr>
              <w:t>投标</w:t>
            </w:r>
          </w:p>
        </w:tc>
        <w:tc>
          <w:tcPr>
            <w:tcW w:w="3492" w:type="pct"/>
            <w:vAlign w:val="center"/>
          </w:tcPr>
          <w:p w14:paraId="3F0659BC">
            <w:pPr>
              <w:adjustRightInd w:val="0"/>
              <w:snapToGrid w:val="0"/>
              <w:spacing w:line="360" w:lineRule="exact"/>
              <w:rPr>
                <w:rFonts w:hint="eastAsia" w:ascii="宋体" w:hAnsi="宋体"/>
                <w:szCs w:val="21"/>
                <w:highlight w:val="none"/>
              </w:rPr>
            </w:pPr>
            <w:r>
              <w:rPr>
                <w:rFonts w:hint="eastAsia" w:ascii="宋体" w:hAnsi="宋体"/>
                <w:szCs w:val="21"/>
                <w:highlight w:val="none"/>
              </w:rPr>
              <w:t>不接受</w:t>
            </w:r>
          </w:p>
        </w:tc>
      </w:tr>
      <w:tr w14:paraId="00255C8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1F1E86F6">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1.9.1</w:t>
            </w:r>
          </w:p>
        </w:tc>
        <w:tc>
          <w:tcPr>
            <w:tcW w:w="1105" w:type="pct"/>
            <w:vAlign w:val="center"/>
          </w:tcPr>
          <w:p w14:paraId="712C5FCF">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踏勘现场</w:t>
            </w:r>
          </w:p>
        </w:tc>
        <w:tc>
          <w:tcPr>
            <w:tcW w:w="3492" w:type="pct"/>
            <w:vAlign w:val="center"/>
          </w:tcPr>
          <w:p w14:paraId="4E647D3D">
            <w:pPr>
              <w:adjustRightInd w:val="0"/>
              <w:snapToGrid w:val="0"/>
              <w:spacing w:line="360" w:lineRule="exact"/>
              <w:rPr>
                <w:rFonts w:hint="eastAsia" w:ascii="宋体" w:hAnsi="宋体"/>
                <w:szCs w:val="21"/>
                <w:highlight w:val="none"/>
              </w:rPr>
            </w:pPr>
            <w:r>
              <w:rPr>
                <w:rFonts w:hint="eastAsia" w:ascii="宋体" w:hAnsi="宋体"/>
                <w:szCs w:val="21"/>
                <w:highlight w:val="none"/>
              </w:rPr>
              <w:t>不组织</w:t>
            </w:r>
          </w:p>
        </w:tc>
      </w:tr>
      <w:tr w14:paraId="0D80853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345ACEC7">
            <w:pPr>
              <w:adjustRightInd w:val="0"/>
              <w:snapToGrid w:val="0"/>
              <w:spacing w:line="360" w:lineRule="exact"/>
              <w:jc w:val="center"/>
              <w:rPr>
                <w:rFonts w:hint="eastAsia" w:ascii="宋体" w:hAnsi="宋体"/>
                <w:szCs w:val="21"/>
                <w:highlight w:val="none"/>
              </w:rPr>
            </w:pPr>
            <w:r>
              <w:rPr>
                <w:rFonts w:ascii="宋体" w:hAnsi="宋体"/>
                <w:szCs w:val="21"/>
                <w:highlight w:val="none"/>
              </w:rPr>
              <w:t>1.10.1</w:t>
            </w:r>
          </w:p>
        </w:tc>
        <w:tc>
          <w:tcPr>
            <w:tcW w:w="1105" w:type="pct"/>
            <w:vAlign w:val="center"/>
          </w:tcPr>
          <w:p w14:paraId="1ABB832F">
            <w:pPr>
              <w:adjustRightInd w:val="0"/>
              <w:snapToGrid w:val="0"/>
              <w:spacing w:line="360" w:lineRule="exact"/>
              <w:jc w:val="center"/>
              <w:rPr>
                <w:rFonts w:hint="eastAsia" w:ascii="宋体" w:hAnsi="宋体"/>
                <w:szCs w:val="21"/>
                <w:highlight w:val="none"/>
              </w:rPr>
            </w:pPr>
            <w:r>
              <w:rPr>
                <w:rFonts w:ascii="宋体" w:hAnsi="宋体"/>
                <w:szCs w:val="21"/>
                <w:highlight w:val="none"/>
              </w:rPr>
              <w:t>投标预备会</w:t>
            </w:r>
          </w:p>
        </w:tc>
        <w:tc>
          <w:tcPr>
            <w:tcW w:w="3492" w:type="pct"/>
            <w:vAlign w:val="center"/>
          </w:tcPr>
          <w:p w14:paraId="26A4709A">
            <w:pPr>
              <w:adjustRightInd w:val="0"/>
              <w:snapToGrid w:val="0"/>
              <w:spacing w:line="360" w:lineRule="exact"/>
              <w:rPr>
                <w:rFonts w:hint="eastAsia" w:ascii="宋体" w:hAnsi="宋体"/>
                <w:szCs w:val="21"/>
                <w:highlight w:val="none"/>
              </w:rPr>
            </w:pPr>
            <w:r>
              <w:rPr>
                <w:rFonts w:hint="eastAsia" w:ascii="宋体" w:hAnsi="宋体"/>
                <w:szCs w:val="21"/>
                <w:highlight w:val="none"/>
              </w:rPr>
              <w:t>不召开</w:t>
            </w:r>
          </w:p>
        </w:tc>
      </w:tr>
      <w:tr w14:paraId="0F98971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1683241D">
            <w:pPr>
              <w:adjustRightInd w:val="0"/>
              <w:snapToGrid w:val="0"/>
              <w:spacing w:line="360" w:lineRule="exact"/>
              <w:jc w:val="center"/>
              <w:rPr>
                <w:rFonts w:hint="eastAsia" w:ascii="宋体" w:hAnsi="宋体"/>
                <w:szCs w:val="21"/>
                <w:highlight w:val="none"/>
              </w:rPr>
            </w:pPr>
            <w:r>
              <w:rPr>
                <w:rFonts w:ascii="宋体" w:hAnsi="宋体"/>
                <w:szCs w:val="21"/>
                <w:highlight w:val="none"/>
              </w:rPr>
              <w:t>1.10.2</w:t>
            </w:r>
          </w:p>
        </w:tc>
        <w:tc>
          <w:tcPr>
            <w:tcW w:w="1105" w:type="pct"/>
            <w:vAlign w:val="center"/>
          </w:tcPr>
          <w:p w14:paraId="400D288E">
            <w:pPr>
              <w:adjustRightInd w:val="0"/>
              <w:snapToGrid w:val="0"/>
              <w:spacing w:line="360" w:lineRule="exact"/>
              <w:jc w:val="center"/>
              <w:rPr>
                <w:rFonts w:hint="eastAsia" w:ascii="宋体" w:hAnsi="宋体"/>
                <w:szCs w:val="21"/>
                <w:highlight w:val="none"/>
              </w:rPr>
            </w:pPr>
            <w:r>
              <w:rPr>
                <w:rFonts w:ascii="宋体" w:hAnsi="宋体"/>
                <w:szCs w:val="21"/>
                <w:highlight w:val="none"/>
              </w:rPr>
              <w:t>投标人提出问题的</w:t>
            </w:r>
          </w:p>
          <w:p w14:paraId="53D99605">
            <w:pPr>
              <w:adjustRightInd w:val="0"/>
              <w:snapToGrid w:val="0"/>
              <w:spacing w:line="360" w:lineRule="exact"/>
              <w:jc w:val="center"/>
              <w:rPr>
                <w:rFonts w:hint="eastAsia" w:ascii="宋体" w:hAnsi="宋体"/>
                <w:szCs w:val="21"/>
                <w:highlight w:val="none"/>
              </w:rPr>
            </w:pPr>
            <w:r>
              <w:rPr>
                <w:rFonts w:ascii="宋体" w:hAnsi="宋体"/>
                <w:szCs w:val="21"/>
                <w:highlight w:val="none"/>
              </w:rPr>
              <w:t>截止时间</w:t>
            </w:r>
          </w:p>
        </w:tc>
        <w:tc>
          <w:tcPr>
            <w:tcW w:w="3492" w:type="pct"/>
            <w:vAlign w:val="center"/>
          </w:tcPr>
          <w:p w14:paraId="706C8E36">
            <w:pPr>
              <w:adjustRightInd w:val="0"/>
              <w:snapToGrid w:val="0"/>
              <w:spacing w:line="360" w:lineRule="exact"/>
              <w:rPr>
                <w:rFonts w:hint="eastAsia" w:ascii="宋体" w:hAnsi="宋体"/>
                <w:szCs w:val="21"/>
                <w:highlight w:val="none"/>
              </w:rPr>
            </w:pPr>
            <w:r>
              <w:rPr>
                <w:rFonts w:hint="eastAsia" w:ascii="宋体" w:hAnsi="宋体"/>
                <w:szCs w:val="21"/>
                <w:highlight w:val="none"/>
              </w:rPr>
              <w:t>/</w:t>
            </w:r>
          </w:p>
        </w:tc>
      </w:tr>
      <w:tr w14:paraId="324FACB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7FCE40AB">
            <w:pPr>
              <w:adjustRightInd w:val="0"/>
              <w:snapToGrid w:val="0"/>
              <w:spacing w:line="360" w:lineRule="exact"/>
              <w:jc w:val="center"/>
              <w:rPr>
                <w:rFonts w:hint="eastAsia" w:ascii="宋体" w:hAnsi="宋体"/>
                <w:szCs w:val="21"/>
                <w:highlight w:val="none"/>
              </w:rPr>
            </w:pPr>
            <w:r>
              <w:rPr>
                <w:rFonts w:ascii="宋体" w:hAnsi="宋体"/>
                <w:szCs w:val="21"/>
                <w:highlight w:val="none"/>
              </w:rPr>
              <w:t>1.11</w:t>
            </w:r>
          </w:p>
        </w:tc>
        <w:tc>
          <w:tcPr>
            <w:tcW w:w="1105" w:type="pct"/>
            <w:vAlign w:val="center"/>
          </w:tcPr>
          <w:p w14:paraId="2693CE91">
            <w:pPr>
              <w:adjustRightInd w:val="0"/>
              <w:snapToGrid w:val="0"/>
              <w:spacing w:line="360" w:lineRule="exact"/>
              <w:jc w:val="center"/>
              <w:rPr>
                <w:rFonts w:hint="eastAsia" w:ascii="宋体" w:hAnsi="宋体"/>
                <w:szCs w:val="21"/>
                <w:highlight w:val="none"/>
              </w:rPr>
            </w:pPr>
            <w:r>
              <w:rPr>
                <w:rFonts w:ascii="宋体" w:hAnsi="宋体"/>
                <w:szCs w:val="21"/>
                <w:highlight w:val="none"/>
              </w:rPr>
              <w:t>分  包</w:t>
            </w:r>
          </w:p>
        </w:tc>
        <w:tc>
          <w:tcPr>
            <w:tcW w:w="3492" w:type="pct"/>
            <w:vAlign w:val="center"/>
          </w:tcPr>
          <w:p w14:paraId="0F6860A1">
            <w:pPr>
              <w:adjustRightInd w:val="0"/>
              <w:snapToGrid w:val="0"/>
              <w:spacing w:line="360" w:lineRule="exact"/>
              <w:rPr>
                <w:rFonts w:hint="eastAsia" w:ascii="宋体" w:hAnsi="宋体"/>
                <w:szCs w:val="21"/>
                <w:highlight w:val="none"/>
              </w:rPr>
            </w:pPr>
            <w:r>
              <w:rPr>
                <w:rFonts w:ascii="宋体" w:hAnsi="宋体"/>
                <w:szCs w:val="21"/>
                <w:highlight w:val="none"/>
              </w:rPr>
              <w:t>允许分包，按照现行有关法律、行政法规、部门规章的规定执行。</w:t>
            </w:r>
          </w:p>
        </w:tc>
      </w:tr>
      <w:tr w14:paraId="643D01A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35A108F3">
            <w:pPr>
              <w:adjustRightInd w:val="0"/>
              <w:snapToGrid w:val="0"/>
              <w:spacing w:line="360" w:lineRule="exact"/>
              <w:jc w:val="center"/>
              <w:rPr>
                <w:rFonts w:hint="eastAsia" w:ascii="宋体" w:hAnsi="宋体"/>
                <w:szCs w:val="21"/>
                <w:highlight w:val="none"/>
              </w:rPr>
            </w:pPr>
            <w:r>
              <w:rPr>
                <w:rFonts w:ascii="宋体" w:hAnsi="宋体"/>
                <w:szCs w:val="21"/>
                <w:highlight w:val="none"/>
              </w:rPr>
              <w:t>1.1</w:t>
            </w:r>
            <w:r>
              <w:rPr>
                <w:rFonts w:hint="eastAsia" w:ascii="宋体" w:hAnsi="宋体"/>
                <w:szCs w:val="21"/>
                <w:highlight w:val="none"/>
              </w:rPr>
              <w:t>2</w:t>
            </w:r>
          </w:p>
        </w:tc>
        <w:tc>
          <w:tcPr>
            <w:tcW w:w="1105" w:type="pct"/>
            <w:vAlign w:val="center"/>
          </w:tcPr>
          <w:p w14:paraId="7DE11569">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偏  离</w:t>
            </w:r>
          </w:p>
        </w:tc>
        <w:tc>
          <w:tcPr>
            <w:tcW w:w="3492" w:type="pct"/>
            <w:vAlign w:val="center"/>
          </w:tcPr>
          <w:p w14:paraId="3EFF53C2">
            <w:pPr>
              <w:adjustRightInd w:val="0"/>
              <w:snapToGrid w:val="0"/>
              <w:spacing w:line="360" w:lineRule="exact"/>
              <w:rPr>
                <w:rFonts w:hint="eastAsia" w:ascii="宋体" w:hAnsi="宋体"/>
                <w:szCs w:val="21"/>
                <w:highlight w:val="none"/>
              </w:rPr>
            </w:pPr>
            <w:r>
              <w:rPr>
                <w:rFonts w:hint="eastAsia" w:ascii="宋体" w:hAnsi="宋体"/>
                <w:szCs w:val="21"/>
                <w:highlight w:val="none"/>
              </w:rPr>
              <w:t>不</w:t>
            </w:r>
            <w:r>
              <w:rPr>
                <w:rFonts w:ascii="宋体" w:hAnsi="宋体"/>
                <w:szCs w:val="21"/>
                <w:highlight w:val="none"/>
              </w:rPr>
              <w:t>允许</w:t>
            </w:r>
          </w:p>
        </w:tc>
      </w:tr>
      <w:tr w14:paraId="77DEA51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3641" w:hRule="atLeast"/>
          <w:jc w:val="center"/>
        </w:trPr>
        <w:tc>
          <w:tcPr>
            <w:tcW w:w="403" w:type="pct"/>
            <w:vAlign w:val="center"/>
          </w:tcPr>
          <w:p w14:paraId="13747A9F">
            <w:pPr>
              <w:adjustRightInd w:val="0"/>
              <w:snapToGrid w:val="0"/>
              <w:spacing w:line="360" w:lineRule="exact"/>
              <w:jc w:val="center"/>
              <w:rPr>
                <w:rFonts w:hint="eastAsia" w:ascii="宋体" w:hAnsi="宋体"/>
                <w:szCs w:val="21"/>
                <w:highlight w:val="none"/>
              </w:rPr>
            </w:pPr>
            <w:r>
              <w:rPr>
                <w:rFonts w:ascii="宋体" w:hAnsi="宋体"/>
                <w:szCs w:val="21"/>
                <w:highlight w:val="none"/>
              </w:rPr>
              <w:t>2.1</w:t>
            </w:r>
          </w:p>
        </w:tc>
        <w:tc>
          <w:tcPr>
            <w:tcW w:w="1105" w:type="pct"/>
            <w:vAlign w:val="center"/>
          </w:tcPr>
          <w:p w14:paraId="7690E646">
            <w:pPr>
              <w:adjustRightInd w:val="0"/>
              <w:snapToGrid w:val="0"/>
              <w:spacing w:line="360" w:lineRule="exact"/>
              <w:jc w:val="center"/>
              <w:rPr>
                <w:rFonts w:hint="eastAsia" w:ascii="宋体" w:hAnsi="宋体"/>
                <w:szCs w:val="21"/>
                <w:highlight w:val="none"/>
              </w:rPr>
            </w:pPr>
            <w:r>
              <w:rPr>
                <w:rFonts w:ascii="宋体" w:hAnsi="宋体"/>
                <w:szCs w:val="21"/>
                <w:highlight w:val="none"/>
              </w:rPr>
              <w:t>构成招标文件的</w:t>
            </w:r>
          </w:p>
          <w:p w14:paraId="2FDEF455">
            <w:pPr>
              <w:adjustRightInd w:val="0"/>
              <w:snapToGrid w:val="0"/>
              <w:spacing w:line="360" w:lineRule="exact"/>
              <w:jc w:val="center"/>
              <w:rPr>
                <w:rFonts w:hint="eastAsia" w:ascii="宋体" w:hAnsi="宋体"/>
                <w:szCs w:val="21"/>
                <w:highlight w:val="none"/>
              </w:rPr>
            </w:pPr>
            <w:r>
              <w:rPr>
                <w:rFonts w:ascii="宋体" w:hAnsi="宋体"/>
                <w:szCs w:val="21"/>
                <w:highlight w:val="none"/>
              </w:rPr>
              <w:t>其他材料</w:t>
            </w:r>
          </w:p>
        </w:tc>
        <w:tc>
          <w:tcPr>
            <w:tcW w:w="3492" w:type="pct"/>
            <w:vAlign w:val="center"/>
          </w:tcPr>
          <w:p w14:paraId="76644390">
            <w:pPr>
              <w:spacing w:line="360" w:lineRule="exact"/>
              <w:rPr>
                <w:rFonts w:hint="eastAsia" w:ascii="宋体" w:hAnsi="宋体"/>
                <w:szCs w:val="21"/>
                <w:highlight w:val="none"/>
              </w:rPr>
            </w:pPr>
            <w:r>
              <w:rPr>
                <w:rFonts w:hint="eastAsia" w:ascii="宋体" w:hAnsi="宋体"/>
                <w:szCs w:val="21"/>
                <w:highlight w:val="none"/>
              </w:rPr>
              <w:t>以下资料列在网盘（请注意区分大小写）中，请投标人自行下载。</w:t>
            </w:r>
          </w:p>
          <w:p w14:paraId="09394CF1">
            <w:pPr>
              <w:spacing w:line="360" w:lineRule="exact"/>
              <w:rPr>
                <w:rFonts w:hint="eastAsia" w:ascii="黑体" w:hAnsi="黑体" w:eastAsia="黑体"/>
                <w:szCs w:val="21"/>
                <w:highlight w:val="none"/>
              </w:rPr>
            </w:pPr>
            <w:r>
              <w:rPr>
                <w:rFonts w:hint="eastAsia" w:ascii="黑体" w:hAnsi="黑体" w:eastAsia="黑体"/>
                <w:szCs w:val="21"/>
                <w:highlight w:val="none"/>
              </w:rPr>
              <w:t>（1）工程量清单（EXCEL格式）</w:t>
            </w:r>
          </w:p>
          <w:p w14:paraId="5DDE6796">
            <w:pPr>
              <w:spacing w:line="360" w:lineRule="exact"/>
              <w:rPr>
                <w:rFonts w:hint="eastAsia" w:ascii="黑体" w:hAnsi="黑体" w:eastAsia="黑体"/>
                <w:szCs w:val="21"/>
                <w:highlight w:val="none"/>
              </w:rPr>
            </w:pPr>
            <w:r>
              <w:rPr>
                <w:rFonts w:hint="eastAsia" w:ascii="黑体" w:hAnsi="黑体" w:eastAsia="黑体"/>
                <w:szCs w:val="21"/>
                <w:highlight w:val="none"/>
              </w:rPr>
              <w:t>（2）施工图纸</w:t>
            </w:r>
          </w:p>
          <w:p w14:paraId="62CC0634">
            <w:pPr>
              <w:spacing w:line="360" w:lineRule="exact"/>
              <w:rPr>
                <w:rFonts w:hint="eastAsia" w:ascii="黑体" w:hAnsi="黑体" w:eastAsia="黑体"/>
                <w:szCs w:val="21"/>
                <w:highlight w:val="none"/>
              </w:rPr>
            </w:pPr>
            <w:r>
              <w:rPr>
                <w:rFonts w:ascii="黑体" w:hAnsi="黑体" w:eastAsia="黑体"/>
                <w:szCs w:val="21"/>
                <w:highlight w:val="none"/>
              </w:rPr>
              <w:t>长春至榆树高速公路建设项目10KV外电引入工程施工招标</w:t>
            </w:r>
          </w:p>
          <w:p w14:paraId="4B587BE2">
            <w:pPr>
              <w:spacing w:line="360" w:lineRule="exact"/>
              <w:rPr>
                <w:rFonts w:hint="eastAsia" w:ascii="黑体" w:hAnsi="黑体" w:eastAsia="黑体"/>
                <w:szCs w:val="21"/>
                <w:highlight w:val="none"/>
              </w:rPr>
            </w:pPr>
            <w:r>
              <w:rPr>
                <w:rFonts w:ascii="黑体" w:hAnsi="黑体" w:eastAsia="黑体"/>
                <w:szCs w:val="21"/>
                <w:highlight w:val="none"/>
              </w:rPr>
              <w:t xml:space="preserve">链接: https://pan.baidu.com/s/1I4-LgqDCfJKaA8aDHD2jeQ </w:t>
            </w:r>
          </w:p>
          <w:p w14:paraId="22640D35">
            <w:pPr>
              <w:spacing w:line="360" w:lineRule="exact"/>
              <w:rPr>
                <w:rFonts w:hint="eastAsia" w:ascii="黑体" w:hAnsi="黑体" w:eastAsia="黑体"/>
                <w:szCs w:val="21"/>
                <w:highlight w:val="none"/>
              </w:rPr>
            </w:pPr>
            <w:r>
              <w:rPr>
                <w:rFonts w:ascii="黑体" w:hAnsi="黑体" w:eastAsia="黑体"/>
                <w:szCs w:val="21"/>
                <w:highlight w:val="none"/>
              </w:rPr>
              <w:t>提取码: jlwb</w:t>
            </w:r>
            <w:bookmarkStart w:id="18" w:name="_Hlk190420848"/>
          </w:p>
          <w:p w14:paraId="735B5F86">
            <w:pPr>
              <w:pStyle w:val="97"/>
              <w:ind w:firstLine="0" w:firstLineChars="0"/>
              <w:jc w:val="left"/>
              <w:rPr>
                <w:rFonts w:hint="eastAsia" w:ascii="黑体" w:hAnsi="黑体" w:eastAsia="黑体"/>
                <w:szCs w:val="21"/>
                <w:highlight w:val="none"/>
              </w:rPr>
            </w:pPr>
            <w:r>
              <w:rPr>
                <w:highlight w:val="none"/>
              </w:rPr>
              <w:drawing>
                <wp:anchor distT="0" distB="0" distL="114300" distR="114300" simplePos="0" relativeHeight="251659264" behindDoc="0" locked="0" layoutInCell="1" allowOverlap="1">
                  <wp:simplePos x="0" y="0"/>
                  <wp:positionH relativeFrom="margin">
                    <wp:posOffset>745490</wp:posOffset>
                  </wp:positionH>
                  <wp:positionV relativeFrom="paragraph">
                    <wp:posOffset>47625</wp:posOffset>
                  </wp:positionV>
                  <wp:extent cx="755650" cy="755650"/>
                  <wp:effectExtent l="0" t="0" r="6350" b="6350"/>
                  <wp:wrapSquare wrapText="bothSides"/>
                  <wp:docPr id="19653642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364223"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755650" cy="755650"/>
                          </a:xfrm>
                          <a:prstGeom prst="rect">
                            <a:avLst/>
                          </a:prstGeom>
                          <a:noFill/>
                          <a:ln>
                            <a:noFill/>
                          </a:ln>
                        </pic:spPr>
                      </pic:pic>
                    </a:graphicData>
                  </a:graphic>
                </wp:anchor>
              </w:drawing>
            </w:r>
          </w:p>
          <w:bookmarkEnd w:id="18"/>
          <w:p w14:paraId="17501FBF">
            <w:pPr>
              <w:adjustRightInd w:val="0"/>
              <w:snapToGrid w:val="0"/>
              <w:spacing w:line="360" w:lineRule="exact"/>
              <w:rPr>
                <w:rFonts w:hint="eastAsia" w:ascii="宋体" w:hAnsi="宋体" w:cs="宋体"/>
                <w:szCs w:val="21"/>
                <w:highlight w:val="none"/>
              </w:rPr>
            </w:pPr>
          </w:p>
        </w:tc>
      </w:tr>
      <w:tr w14:paraId="32145CD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1082" w:hRule="atLeast"/>
          <w:jc w:val="center"/>
        </w:trPr>
        <w:tc>
          <w:tcPr>
            <w:tcW w:w="403" w:type="pct"/>
            <w:vAlign w:val="center"/>
          </w:tcPr>
          <w:p w14:paraId="336F96B4">
            <w:pPr>
              <w:spacing w:line="360" w:lineRule="exact"/>
              <w:jc w:val="center"/>
              <w:rPr>
                <w:rFonts w:hint="eastAsia" w:ascii="宋体" w:hAnsi="宋体"/>
                <w:color w:val="000000"/>
                <w:szCs w:val="21"/>
                <w:highlight w:val="none"/>
              </w:rPr>
            </w:pPr>
            <w:r>
              <w:rPr>
                <w:rFonts w:ascii="宋体" w:hAnsi="宋体"/>
                <w:color w:val="000000"/>
                <w:szCs w:val="21"/>
                <w:highlight w:val="none"/>
              </w:rPr>
              <w:t>2.2.1</w:t>
            </w:r>
          </w:p>
        </w:tc>
        <w:tc>
          <w:tcPr>
            <w:tcW w:w="1105" w:type="pct"/>
            <w:vAlign w:val="center"/>
          </w:tcPr>
          <w:p w14:paraId="5AF55846">
            <w:pPr>
              <w:spacing w:line="360" w:lineRule="exact"/>
              <w:jc w:val="center"/>
              <w:rPr>
                <w:rFonts w:hint="eastAsia" w:ascii="宋体" w:hAnsi="宋体"/>
                <w:color w:val="000000"/>
                <w:szCs w:val="21"/>
                <w:highlight w:val="none"/>
              </w:rPr>
            </w:pPr>
            <w:r>
              <w:rPr>
                <w:rFonts w:ascii="宋体" w:hAnsi="宋体"/>
                <w:color w:val="000000"/>
                <w:szCs w:val="21"/>
                <w:highlight w:val="none"/>
              </w:rPr>
              <w:t>投标人要求澄清招标文件</w:t>
            </w:r>
            <w:r>
              <w:rPr>
                <w:rFonts w:hint="eastAsia" w:ascii="宋体" w:hAnsi="宋体"/>
                <w:color w:val="000000"/>
                <w:szCs w:val="21"/>
                <w:highlight w:val="none"/>
              </w:rPr>
              <w:t>的截止时间</w:t>
            </w:r>
          </w:p>
        </w:tc>
        <w:tc>
          <w:tcPr>
            <w:tcW w:w="3492" w:type="pct"/>
            <w:vAlign w:val="center"/>
          </w:tcPr>
          <w:p w14:paraId="29723289">
            <w:pPr>
              <w:spacing w:line="360" w:lineRule="exact"/>
              <w:contextualSpacing/>
              <w:jc w:val="left"/>
              <w:rPr>
                <w:rFonts w:hint="eastAsia" w:ascii="宋体" w:hAnsi="宋体"/>
                <w:szCs w:val="21"/>
                <w:highlight w:val="none"/>
              </w:rPr>
            </w:pPr>
            <w:r>
              <w:rPr>
                <w:rFonts w:hint="eastAsia" w:ascii="宋体" w:hAnsi="宋体"/>
                <w:szCs w:val="21"/>
                <w:highlight w:val="none"/>
              </w:rPr>
              <w:t>投标截止时间前10天</w:t>
            </w:r>
          </w:p>
          <w:p w14:paraId="1D49C4EC">
            <w:pPr>
              <w:spacing w:line="360" w:lineRule="exact"/>
              <w:ind w:right="113"/>
              <w:rPr>
                <w:rFonts w:hint="eastAsia" w:ascii="宋体" w:hAnsi="宋体"/>
                <w:szCs w:val="21"/>
                <w:highlight w:val="none"/>
              </w:rPr>
            </w:pPr>
            <w:r>
              <w:rPr>
                <w:rFonts w:hint="eastAsia" w:ascii="宋体" w:hAnsi="宋体"/>
                <w:szCs w:val="21"/>
                <w:highlight w:val="none"/>
              </w:rPr>
              <w:t>形式：在</w:t>
            </w:r>
            <w:r>
              <w:rPr>
                <w:rFonts w:hint="eastAsia" w:ascii="宋体" w:hAnsi="宋体"/>
                <w:kern w:val="0"/>
                <w:szCs w:val="21"/>
                <w:highlight w:val="none"/>
              </w:rPr>
              <w:t>一体化平台交易系统</w:t>
            </w:r>
            <w:r>
              <w:rPr>
                <w:rFonts w:hint="eastAsia" w:ascii="宋体" w:hAnsi="宋体"/>
                <w:szCs w:val="21"/>
                <w:highlight w:val="none"/>
              </w:rPr>
              <w:t>上提交，</w:t>
            </w:r>
            <w:r>
              <w:rPr>
                <w:rFonts w:ascii="宋体" w:hAnsi="宋体"/>
                <w:highlight w:val="none"/>
              </w:rPr>
              <w:t>同时将要求澄清的内容发送至</w:t>
            </w:r>
            <w:r>
              <w:rPr>
                <w:rFonts w:ascii="宋体" w:hAnsi="宋体"/>
                <w:szCs w:val="21"/>
                <w:highlight w:val="none"/>
              </w:rPr>
              <w:t>邮箱：jlwbgl@163.com</w:t>
            </w:r>
            <w:r>
              <w:rPr>
                <w:rFonts w:ascii="宋体" w:hAnsi="宋体"/>
                <w:highlight w:val="none"/>
              </w:rPr>
              <w:t>，并电话通知招标代理机构查收。</w:t>
            </w:r>
          </w:p>
        </w:tc>
      </w:tr>
      <w:tr w14:paraId="24628B0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417" w:hRule="atLeast"/>
          <w:jc w:val="center"/>
        </w:trPr>
        <w:tc>
          <w:tcPr>
            <w:tcW w:w="403" w:type="pct"/>
            <w:vAlign w:val="center"/>
          </w:tcPr>
          <w:p w14:paraId="5239718D">
            <w:pPr>
              <w:adjustRightInd w:val="0"/>
              <w:snapToGrid w:val="0"/>
              <w:spacing w:line="360" w:lineRule="exact"/>
              <w:jc w:val="center"/>
              <w:rPr>
                <w:rFonts w:hint="eastAsia" w:ascii="宋体" w:hAnsi="宋体"/>
                <w:szCs w:val="21"/>
                <w:highlight w:val="none"/>
              </w:rPr>
            </w:pPr>
            <w:r>
              <w:rPr>
                <w:rFonts w:ascii="宋体" w:hAnsi="宋体"/>
                <w:szCs w:val="21"/>
                <w:highlight w:val="none"/>
              </w:rPr>
              <w:t>2.2.2</w:t>
            </w:r>
          </w:p>
        </w:tc>
        <w:tc>
          <w:tcPr>
            <w:tcW w:w="1105" w:type="pct"/>
            <w:vAlign w:val="center"/>
          </w:tcPr>
          <w:p w14:paraId="00C60DD6">
            <w:pPr>
              <w:spacing w:line="360" w:lineRule="exact"/>
              <w:jc w:val="center"/>
              <w:rPr>
                <w:rFonts w:hint="eastAsia" w:ascii="宋体" w:hAnsi="宋体"/>
                <w:color w:val="000000"/>
                <w:szCs w:val="21"/>
                <w:highlight w:val="none"/>
              </w:rPr>
            </w:pPr>
            <w:r>
              <w:rPr>
                <w:rFonts w:hint="eastAsia" w:ascii="宋体" w:hAnsi="宋体"/>
                <w:color w:val="000000"/>
                <w:szCs w:val="21"/>
                <w:highlight w:val="none"/>
              </w:rPr>
              <w:t>投标截止时间</w:t>
            </w:r>
          </w:p>
        </w:tc>
        <w:tc>
          <w:tcPr>
            <w:tcW w:w="3492" w:type="pct"/>
            <w:vAlign w:val="center"/>
          </w:tcPr>
          <w:p w14:paraId="490D7587">
            <w:pPr>
              <w:adjustRightInd w:val="0"/>
              <w:snapToGrid w:val="0"/>
              <w:spacing w:line="360" w:lineRule="exact"/>
              <w:jc w:val="left"/>
              <w:rPr>
                <w:rFonts w:hint="eastAsia" w:ascii="宋体" w:hAnsi="宋体" w:cs="宋体"/>
                <w:szCs w:val="21"/>
                <w:highlight w:val="none"/>
              </w:rPr>
            </w:pPr>
            <w:r>
              <w:rPr>
                <w:rFonts w:hint="eastAsia" w:ascii="黑体" w:hAnsi="黑体" w:eastAsia="黑体"/>
                <w:szCs w:val="21"/>
                <w:highlight w:val="none"/>
                <w:u w:val="single"/>
              </w:rPr>
              <w:t>2026年11月13日9时00分</w:t>
            </w:r>
          </w:p>
        </w:tc>
      </w:tr>
      <w:tr w14:paraId="13E36CA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800" w:hRule="atLeast"/>
          <w:jc w:val="center"/>
        </w:trPr>
        <w:tc>
          <w:tcPr>
            <w:tcW w:w="403" w:type="pct"/>
            <w:vAlign w:val="center"/>
          </w:tcPr>
          <w:p w14:paraId="737C0EFD">
            <w:pPr>
              <w:adjustRightInd w:val="0"/>
              <w:snapToGrid w:val="0"/>
              <w:spacing w:line="360" w:lineRule="exact"/>
              <w:jc w:val="center"/>
              <w:rPr>
                <w:rFonts w:hint="eastAsia" w:ascii="宋体" w:hAnsi="宋体"/>
                <w:szCs w:val="21"/>
                <w:highlight w:val="none"/>
              </w:rPr>
            </w:pPr>
            <w:r>
              <w:rPr>
                <w:rFonts w:ascii="宋体" w:hAnsi="宋体"/>
                <w:szCs w:val="21"/>
                <w:highlight w:val="none"/>
              </w:rPr>
              <w:t>2.2.3</w:t>
            </w:r>
          </w:p>
        </w:tc>
        <w:tc>
          <w:tcPr>
            <w:tcW w:w="1105" w:type="pct"/>
            <w:vAlign w:val="center"/>
          </w:tcPr>
          <w:p w14:paraId="7957E762">
            <w:pPr>
              <w:spacing w:line="360" w:lineRule="exact"/>
              <w:jc w:val="center"/>
              <w:rPr>
                <w:rFonts w:hint="eastAsia" w:ascii="宋体" w:hAnsi="宋体"/>
                <w:color w:val="000000"/>
                <w:szCs w:val="21"/>
                <w:highlight w:val="none"/>
              </w:rPr>
            </w:pPr>
            <w:r>
              <w:rPr>
                <w:rFonts w:ascii="宋体" w:hAnsi="宋体"/>
                <w:color w:val="000000"/>
                <w:szCs w:val="21"/>
                <w:highlight w:val="none"/>
              </w:rPr>
              <w:t>投标人确认收到招标文件澄清的</w:t>
            </w:r>
            <w:r>
              <w:rPr>
                <w:rFonts w:hint="eastAsia" w:ascii="宋体" w:hAnsi="宋体"/>
                <w:color w:val="000000"/>
                <w:szCs w:val="21"/>
                <w:highlight w:val="none"/>
              </w:rPr>
              <w:t>时间</w:t>
            </w:r>
          </w:p>
        </w:tc>
        <w:tc>
          <w:tcPr>
            <w:tcW w:w="3492" w:type="pct"/>
            <w:vAlign w:val="center"/>
          </w:tcPr>
          <w:p w14:paraId="3C5494F6">
            <w:pPr>
              <w:spacing w:line="360" w:lineRule="exact"/>
              <w:rPr>
                <w:rFonts w:hint="eastAsia" w:ascii="宋体" w:hAnsi="宋体"/>
                <w:color w:val="000000"/>
                <w:szCs w:val="21"/>
                <w:highlight w:val="none"/>
              </w:rPr>
            </w:pPr>
            <w:r>
              <w:rPr>
                <w:rFonts w:hint="eastAsia" w:ascii="Cambria" w:hAnsi="Cambria" w:cs="Cambria"/>
                <w:szCs w:val="21"/>
                <w:highlight w:val="none"/>
              </w:rPr>
              <w:t>请潜在投标人在参加与本项目活动期间关注网站信息，所有有意愿的投标人有义务在网上自行查询，无需书面回复。</w:t>
            </w:r>
          </w:p>
        </w:tc>
      </w:tr>
      <w:tr w14:paraId="56DB026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800" w:hRule="atLeast"/>
          <w:jc w:val="center"/>
        </w:trPr>
        <w:tc>
          <w:tcPr>
            <w:tcW w:w="403" w:type="pct"/>
            <w:vAlign w:val="center"/>
          </w:tcPr>
          <w:p w14:paraId="16CCCB05">
            <w:pPr>
              <w:spacing w:line="360" w:lineRule="exact"/>
              <w:jc w:val="center"/>
              <w:rPr>
                <w:rFonts w:hint="eastAsia" w:ascii="宋体" w:hAnsi="宋体"/>
                <w:color w:val="000000"/>
                <w:szCs w:val="21"/>
                <w:highlight w:val="none"/>
              </w:rPr>
            </w:pPr>
            <w:r>
              <w:rPr>
                <w:rFonts w:ascii="宋体" w:hAnsi="宋体"/>
                <w:color w:val="000000"/>
                <w:szCs w:val="21"/>
                <w:highlight w:val="none"/>
              </w:rPr>
              <w:t>2.3.2</w:t>
            </w:r>
          </w:p>
        </w:tc>
        <w:tc>
          <w:tcPr>
            <w:tcW w:w="1105" w:type="pct"/>
            <w:vAlign w:val="center"/>
          </w:tcPr>
          <w:p w14:paraId="49952BB3">
            <w:pPr>
              <w:spacing w:line="360" w:lineRule="exact"/>
              <w:jc w:val="center"/>
              <w:rPr>
                <w:rFonts w:hint="eastAsia" w:ascii="宋体" w:hAnsi="宋体"/>
                <w:color w:val="000000"/>
                <w:szCs w:val="21"/>
                <w:highlight w:val="none"/>
              </w:rPr>
            </w:pPr>
            <w:r>
              <w:rPr>
                <w:rFonts w:ascii="宋体" w:hAnsi="宋体"/>
                <w:color w:val="000000"/>
                <w:szCs w:val="21"/>
                <w:highlight w:val="none"/>
              </w:rPr>
              <w:t>投标人确认收到招标文件修改</w:t>
            </w:r>
            <w:r>
              <w:rPr>
                <w:rFonts w:hint="eastAsia" w:ascii="宋体" w:hAnsi="宋体"/>
                <w:color w:val="000000"/>
                <w:szCs w:val="21"/>
                <w:highlight w:val="none"/>
              </w:rPr>
              <w:t>的时间</w:t>
            </w:r>
          </w:p>
        </w:tc>
        <w:tc>
          <w:tcPr>
            <w:tcW w:w="3492" w:type="pct"/>
            <w:vAlign w:val="center"/>
          </w:tcPr>
          <w:p w14:paraId="7ABA444C">
            <w:pPr>
              <w:spacing w:line="360" w:lineRule="exact"/>
              <w:rPr>
                <w:rFonts w:hint="eastAsia" w:ascii="宋体" w:hAnsi="宋体"/>
                <w:color w:val="000000"/>
                <w:szCs w:val="21"/>
                <w:highlight w:val="none"/>
              </w:rPr>
            </w:pPr>
            <w:r>
              <w:rPr>
                <w:rFonts w:hint="eastAsia" w:ascii="Cambria" w:hAnsi="Cambria" w:cs="Cambria"/>
                <w:szCs w:val="21"/>
                <w:highlight w:val="none"/>
              </w:rPr>
              <w:t>请潜在投标人在参加与本项目活动期间关注网站信息，所有有意愿的投标人有义务在网上自行查询，无需书面回复。</w:t>
            </w:r>
          </w:p>
        </w:tc>
      </w:tr>
      <w:tr w14:paraId="4F6FD8B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2AF73D4C">
            <w:pPr>
              <w:adjustRightInd w:val="0"/>
              <w:snapToGrid w:val="0"/>
              <w:spacing w:line="360" w:lineRule="exact"/>
              <w:jc w:val="center"/>
              <w:rPr>
                <w:rFonts w:hint="eastAsia" w:ascii="宋体" w:hAnsi="宋体"/>
                <w:szCs w:val="21"/>
                <w:highlight w:val="none"/>
              </w:rPr>
            </w:pPr>
            <w:r>
              <w:rPr>
                <w:rFonts w:ascii="宋体" w:hAnsi="宋体"/>
                <w:szCs w:val="21"/>
                <w:highlight w:val="none"/>
              </w:rPr>
              <w:t>3.1.1</w:t>
            </w:r>
          </w:p>
        </w:tc>
        <w:tc>
          <w:tcPr>
            <w:tcW w:w="1105" w:type="pct"/>
            <w:vAlign w:val="center"/>
          </w:tcPr>
          <w:p w14:paraId="69F76253">
            <w:pPr>
              <w:adjustRightInd w:val="0"/>
              <w:snapToGrid w:val="0"/>
              <w:spacing w:line="360" w:lineRule="exact"/>
              <w:jc w:val="center"/>
              <w:rPr>
                <w:rFonts w:hint="eastAsia" w:ascii="宋体" w:hAnsi="宋体"/>
                <w:szCs w:val="21"/>
                <w:highlight w:val="none"/>
              </w:rPr>
            </w:pPr>
            <w:r>
              <w:rPr>
                <w:rFonts w:ascii="宋体" w:hAnsi="宋体"/>
                <w:szCs w:val="21"/>
                <w:highlight w:val="none"/>
              </w:rPr>
              <w:t>构成投标文件的</w:t>
            </w:r>
          </w:p>
          <w:p w14:paraId="52840290">
            <w:pPr>
              <w:adjustRightInd w:val="0"/>
              <w:snapToGrid w:val="0"/>
              <w:spacing w:line="360" w:lineRule="exact"/>
              <w:jc w:val="center"/>
              <w:rPr>
                <w:rFonts w:hint="eastAsia" w:ascii="宋体" w:hAnsi="宋体"/>
                <w:szCs w:val="21"/>
                <w:highlight w:val="none"/>
              </w:rPr>
            </w:pPr>
            <w:r>
              <w:rPr>
                <w:rFonts w:ascii="宋体" w:hAnsi="宋体"/>
                <w:szCs w:val="21"/>
                <w:highlight w:val="none"/>
              </w:rPr>
              <w:t>其他材料</w:t>
            </w:r>
          </w:p>
        </w:tc>
        <w:tc>
          <w:tcPr>
            <w:tcW w:w="3492" w:type="pct"/>
            <w:vAlign w:val="center"/>
          </w:tcPr>
          <w:p w14:paraId="2D63242F">
            <w:pPr>
              <w:spacing w:line="360" w:lineRule="exact"/>
              <w:contextualSpacing/>
              <w:rPr>
                <w:rFonts w:hint="eastAsia" w:ascii="宋体" w:hAnsi="宋体"/>
                <w:szCs w:val="21"/>
                <w:highlight w:val="none"/>
              </w:rPr>
            </w:pPr>
            <w:r>
              <w:rPr>
                <w:rFonts w:hint="eastAsia" w:ascii="宋体" w:hAnsi="宋体"/>
                <w:kern w:val="0"/>
                <w:szCs w:val="21"/>
                <w:highlight w:val="none"/>
              </w:rPr>
              <w:t>评标办法中要求的资料</w:t>
            </w:r>
          </w:p>
        </w:tc>
      </w:tr>
      <w:tr w14:paraId="201E9BB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1837" w:hRule="atLeast"/>
          <w:jc w:val="center"/>
        </w:trPr>
        <w:tc>
          <w:tcPr>
            <w:tcW w:w="403" w:type="pct"/>
            <w:vAlign w:val="center"/>
          </w:tcPr>
          <w:p w14:paraId="10D8F24B">
            <w:pPr>
              <w:spacing w:line="360" w:lineRule="exact"/>
              <w:contextualSpacing/>
              <w:jc w:val="center"/>
              <w:rPr>
                <w:rFonts w:hint="eastAsia" w:ascii="宋体" w:hAnsi="宋体"/>
                <w:szCs w:val="21"/>
                <w:highlight w:val="none"/>
              </w:rPr>
            </w:pPr>
            <w:r>
              <w:rPr>
                <w:rFonts w:hint="eastAsia" w:ascii="宋体" w:hAnsi="宋体"/>
                <w:szCs w:val="21"/>
                <w:highlight w:val="none"/>
              </w:rPr>
              <w:t>3</w:t>
            </w:r>
            <w:r>
              <w:rPr>
                <w:rFonts w:ascii="宋体" w:hAnsi="宋体"/>
                <w:szCs w:val="21"/>
                <w:highlight w:val="none"/>
              </w:rPr>
              <w:t>.2.8</w:t>
            </w:r>
          </w:p>
        </w:tc>
        <w:tc>
          <w:tcPr>
            <w:tcW w:w="1105" w:type="pct"/>
            <w:vAlign w:val="center"/>
          </w:tcPr>
          <w:p w14:paraId="6DD3E19D">
            <w:pPr>
              <w:spacing w:line="360" w:lineRule="exact"/>
              <w:contextualSpacing/>
              <w:jc w:val="center"/>
              <w:rPr>
                <w:rFonts w:hint="eastAsia" w:ascii="宋体" w:hAnsi="宋体" w:cs="宋体"/>
                <w:szCs w:val="21"/>
                <w:highlight w:val="none"/>
              </w:rPr>
            </w:pPr>
            <w:r>
              <w:rPr>
                <w:rFonts w:hint="eastAsia" w:ascii="宋体" w:hAnsi="宋体" w:cs="宋体"/>
                <w:szCs w:val="21"/>
                <w:highlight w:val="none"/>
              </w:rPr>
              <w:t>最高投标限价</w:t>
            </w:r>
          </w:p>
        </w:tc>
        <w:tc>
          <w:tcPr>
            <w:tcW w:w="3492" w:type="pct"/>
            <w:vAlign w:val="center"/>
          </w:tcPr>
          <w:p w14:paraId="748330FA">
            <w:pPr>
              <w:adjustRightInd w:val="0"/>
              <w:snapToGrid w:val="0"/>
              <w:spacing w:line="360" w:lineRule="exact"/>
              <w:rPr>
                <w:rFonts w:hint="eastAsia" w:ascii="宋体" w:hAnsi="宋体"/>
                <w:szCs w:val="21"/>
                <w:highlight w:val="none"/>
                <w:u w:val="single"/>
              </w:rPr>
            </w:pPr>
            <w:r>
              <w:rPr>
                <w:rFonts w:ascii="黑体" w:hAnsi="黑体" w:eastAsia="黑体"/>
                <w:szCs w:val="21"/>
                <w:highlight w:val="none"/>
              </w:rPr>
              <w:t>最高投标限价：</w:t>
            </w:r>
            <w:r>
              <w:rPr>
                <w:rFonts w:hint="eastAsia" w:ascii="黑体" w:hAnsi="黑体" w:eastAsia="黑体"/>
                <w:color w:val="000000"/>
                <w:szCs w:val="21"/>
                <w:highlight w:val="none"/>
              </w:rPr>
              <w:t>23,280,865</w:t>
            </w:r>
            <w:r>
              <w:rPr>
                <w:rFonts w:ascii="黑体" w:hAnsi="黑体" w:eastAsia="黑体"/>
                <w:szCs w:val="21"/>
                <w:highlight w:val="none"/>
              </w:rPr>
              <w:t>元（其中含</w:t>
            </w:r>
            <w:r>
              <w:rPr>
                <w:rFonts w:hint="eastAsia" w:ascii="黑体" w:hAnsi="黑体" w:eastAsia="黑体"/>
                <w:szCs w:val="21"/>
                <w:highlight w:val="none"/>
              </w:rPr>
              <w:t>暂列金额</w:t>
            </w:r>
            <w:r>
              <w:rPr>
                <w:rFonts w:ascii="黑体" w:hAnsi="黑体" w:eastAsia="黑体"/>
                <w:szCs w:val="21"/>
                <w:highlight w:val="none"/>
                <w:u w:val="single"/>
              </w:rPr>
              <w:t xml:space="preserve"> </w:t>
            </w:r>
            <w:r>
              <w:rPr>
                <w:rFonts w:hint="eastAsia" w:ascii="黑体" w:hAnsi="黑体" w:eastAsia="黑体"/>
                <w:szCs w:val="21"/>
                <w:highlight w:val="none"/>
                <w:u w:val="single"/>
              </w:rPr>
              <w:t>780,000</w:t>
            </w:r>
            <w:r>
              <w:rPr>
                <w:rFonts w:ascii="黑体" w:hAnsi="黑体" w:eastAsia="黑体"/>
                <w:szCs w:val="21"/>
                <w:highlight w:val="none"/>
              </w:rPr>
              <w:t>元）</w:t>
            </w:r>
          </w:p>
          <w:p w14:paraId="67FAEB37">
            <w:pPr>
              <w:adjustRightInd w:val="0"/>
              <w:snapToGrid w:val="0"/>
              <w:spacing w:line="360" w:lineRule="exact"/>
              <w:rPr>
                <w:rFonts w:hint="eastAsia" w:ascii="宋体" w:hAnsi="宋体"/>
                <w:szCs w:val="21"/>
                <w:highlight w:val="none"/>
              </w:rPr>
            </w:pPr>
            <w:r>
              <w:rPr>
                <w:rFonts w:ascii="宋体" w:hAnsi="宋体"/>
                <w:szCs w:val="21"/>
                <w:highlight w:val="none"/>
              </w:rPr>
              <w:t>注：</w:t>
            </w:r>
            <w:r>
              <w:rPr>
                <w:rFonts w:ascii="黑体" w:hAnsi="黑体" w:eastAsia="黑体"/>
                <w:szCs w:val="21"/>
                <w:highlight w:val="none"/>
              </w:rPr>
              <w:t>最高投标限价中含临时占地</w:t>
            </w:r>
            <w:r>
              <w:rPr>
                <w:rFonts w:hint="eastAsia" w:ascii="黑体" w:hAnsi="黑体" w:eastAsia="黑体"/>
                <w:szCs w:val="21"/>
                <w:highlight w:val="none"/>
              </w:rPr>
              <w:t>及永久占地费用</w:t>
            </w:r>
            <w:r>
              <w:rPr>
                <w:rFonts w:ascii="宋体" w:hAnsi="宋体"/>
                <w:szCs w:val="21"/>
                <w:highlight w:val="none"/>
              </w:rPr>
              <w:t>。</w:t>
            </w:r>
            <w:r>
              <w:rPr>
                <w:rFonts w:hint="eastAsia" w:ascii="宋体" w:hAnsi="宋体"/>
                <w:szCs w:val="21"/>
                <w:highlight w:val="none"/>
              </w:rPr>
              <w:t>高于最高投标限价的投标报价为无效报价，其投标将被否决。投标人编制投标报价时，</w:t>
            </w:r>
            <w:r>
              <w:rPr>
                <w:rFonts w:hint="eastAsia" w:ascii="黑体" w:hAnsi="黑体" w:eastAsia="黑体"/>
                <w:szCs w:val="21"/>
                <w:highlight w:val="none"/>
              </w:rPr>
              <w:t>规费、安全文明施工费、税金不得作为竞争性费用</w:t>
            </w:r>
            <w:r>
              <w:rPr>
                <w:rFonts w:hint="eastAsia" w:ascii="宋体" w:hAnsi="宋体"/>
                <w:szCs w:val="21"/>
                <w:highlight w:val="none"/>
              </w:rPr>
              <w:t>。</w:t>
            </w:r>
          </w:p>
        </w:tc>
      </w:tr>
      <w:tr w14:paraId="4B5FB7B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52" w:hRule="atLeast"/>
          <w:jc w:val="center"/>
        </w:trPr>
        <w:tc>
          <w:tcPr>
            <w:tcW w:w="403" w:type="pct"/>
            <w:vAlign w:val="center"/>
          </w:tcPr>
          <w:p w14:paraId="51476855">
            <w:pPr>
              <w:adjustRightInd w:val="0"/>
              <w:snapToGrid w:val="0"/>
              <w:spacing w:line="360" w:lineRule="exact"/>
              <w:jc w:val="center"/>
              <w:rPr>
                <w:rFonts w:hint="eastAsia" w:ascii="宋体" w:hAnsi="宋体"/>
                <w:szCs w:val="21"/>
                <w:highlight w:val="none"/>
              </w:rPr>
            </w:pPr>
            <w:r>
              <w:rPr>
                <w:rFonts w:ascii="宋体" w:hAnsi="宋体"/>
                <w:szCs w:val="21"/>
                <w:highlight w:val="none"/>
              </w:rPr>
              <w:t>3.3.1</w:t>
            </w:r>
          </w:p>
        </w:tc>
        <w:tc>
          <w:tcPr>
            <w:tcW w:w="1105" w:type="pct"/>
            <w:vAlign w:val="center"/>
          </w:tcPr>
          <w:p w14:paraId="3B7A63F7">
            <w:pPr>
              <w:adjustRightInd w:val="0"/>
              <w:snapToGrid w:val="0"/>
              <w:spacing w:line="360" w:lineRule="exact"/>
              <w:jc w:val="center"/>
              <w:rPr>
                <w:rFonts w:hint="eastAsia" w:ascii="宋体" w:hAnsi="宋体"/>
                <w:szCs w:val="21"/>
                <w:highlight w:val="none"/>
              </w:rPr>
            </w:pPr>
            <w:r>
              <w:rPr>
                <w:rFonts w:ascii="宋体" w:hAnsi="宋体"/>
                <w:szCs w:val="21"/>
                <w:highlight w:val="none"/>
              </w:rPr>
              <w:t>投标有效期</w:t>
            </w:r>
          </w:p>
        </w:tc>
        <w:tc>
          <w:tcPr>
            <w:tcW w:w="3492" w:type="pct"/>
            <w:vAlign w:val="center"/>
          </w:tcPr>
          <w:p w14:paraId="6159C176">
            <w:pPr>
              <w:adjustRightInd w:val="0"/>
              <w:snapToGrid w:val="0"/>
              <w:spacing w:line="360" w:lineRule="exact"/>
              <w:rPr>
                <w:rFonts w:hint="eastAsia" w:ascii="宋体" w:hAnsi="宋体"/>
                <w:szCs w:val="21"/>
                <w:highlight w:val="none"/>
              </w:rPr>
            </w:pPr>
            <w:r>
              <w:rPr>
                <w:rFonts w:hint="eastAsia" w:ascii="宋体" w:hAnsi="宋体"/>
                <w:szCs w:val="21"/>
                <w:highlight w:val="none"/>
              </w:rPr>
              <w:t>自投标人提交投标文件截止之日起计算</w:t>
            </w:r>
            <w:r>
              <w:rPr>
                <w:rFonts w:hint="eastAsia" w:ascii="黑体" w:hAnsi="黑体" w:eastAsia="黑体"/>
                <w:szCs w:val="21"/>
                <w:highlight w:val="none"/>
                <w:u w:val="single"/>
              </w:rPr>
              <w:t>90日</w:t>
            </w:r>
          </w:p>
        </w:tc>
      </w:tr>
      <w:tr w14:paraId="587E031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395" w:hRule="atLeast"/>
          <w:jc w:val="center"/>
        </w:trPr>
        <w:tc>
          <w:tcPr>
            <w:tcW w:w="403" w:type="pct"/>
            <w:vAlign w:val="center"/>
          </w:tcPr>
          <w:p w14:paraId="3216C364">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3.4.1</w:t>
            </w:r>
          </w:p>
        </w:tc>
        <w:tc>
          <w:tcPr>
            <w:tcW w:w="1105" w:type="pct"/>
            <w:vAlign w:val="center"/>
          </w:tcPr>
          <w:p w14:paraId="2E528EBF">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投标保证金</w:t>
            </w:r>
          </w:p>
        </w:tc>
        <w:tc>
          <w:tcPr>
            <w:tcW w:w="3492" w:type="pct"/>
            <w:vAlign w:val="center"/>
          </w:tcPr>
          <w:p w14:paraId="4BA4C327">
            <w:pPr>
              <w:snapToGrid w:val="0"/>
              <w:spacing w:line="340" w:lineRule="exact"/>
              <w:rPr>
                <w:rFonts w:hint="eastAsia" w:ascii="宋体" w:hAnsi="宋体"/>
                <w:szCs w:val="21"/>
                <w:highlight w:val="none"/>
              </w:rPr>
            </w:pPr>
            <w:r>
              <w:rPr>
                <w:rFonts w:hint="eastAsia" w:ascii="宋体" w:hAnsi="宋体"/>
                <w:kern w:val="0"/>
                <w:szCs w:val="21"/>
                <w:highlight w:val="none"/>
                <w:lang w:val="zh-CN"/>
              </w:rPr>
              <w:t>投标保证金的金额</w:t>
            </w:r>
            <w:r>
              <w:rPr>
                <w:rFonts w:hint="eastAsia" w:ascii="宋体" w:hAnsi="宋体"/>
                <w:szCs w:val="21"/>
                <w:highlight w:val="none"/>
              </w:rPr>
              <w:t>：</w:t>
            </w:r>
            <w:r>
              <w:rPr>
                <w:rFonts w:hint="eastAsia" w:ascii="黑体" w:hAnsi="黑体" w:eastAsia="黑体"/>
                <w:szCs w:val="21"/>
                <w:highlight w:val="none"/>
              </w:rPr>
              <w:t>20万元</w:t>
            </w:r>
          </w:p>
          <w:p w14:paraId="0ADF9A05">
            <w:pPr>
              <w:adjustRightInd w:val="0"/>
              <w:snapToGrid w:val="0"/>
              <w:spacing w:line="340" w:lineRule="exact"/>
              <w:jc w:val="left"/>
              <w:rPr>
                <w:rFonts w:hint="eastAsia" w:ascii="宋体" w:hAnsi="宋体"/>
                <w:szCs w:val="21"/>
                <w:highlight w:val="none"/>
              </w:rPr>
            </w:pPr>
            <w:bookmarkStart w:id="19" w:name="OLE_LINK30"/>
            <w:bookmarkStart w:id="20" w:name="OLE_LINK59"/>
            <w:r>
              <w:rPr>
                <w:rFonts w:hint="eastAsia" w:ascii="宋体" w:hAnsi="宋体"/>
                <w:szCs w:val="21"/>
                <w:highlight w:val="none"/>
              </w:rPr>
              <w:t>投标保证金的形式：现金、支票或在吉林省公共资源交易一体化平台开展电子保函担保业务的第三方服务机构提供的电子保函。</w:t>
            </w:r>
          </w:p>
          <w:bookmarkEnd w:id="19"/>
          <w:p w14:paraId="3F24660B">
            <w:pPr>
              <w:adjustRightInd w:val="0"/>
              <w:snapToGrid w:val="0"/>
              <w:spacing w:line="340" w:lineRule="exact"/>
              <w:jc w:val="left"/>
              <w:rPr>
                <w:rFonts w:hint="eastAsia" w:ascii="宋体" w:hAnsi="宋体"/>
                <w:szCs w:val="21"/>
                <w:highlight w:val="none"/>
              </w:rPr>
            </w:pPr>
            <w:r>
              <w:rPr>
                <w:rFonts w:ascii="宋体" w:hAnsi="宋体"/>
                <w:szCs w:val="21"/>
                <w:highlight w:val="none"/>
              </w:rPr>
              <w:fldChar w:fldCharType="begin"/>
            </w:r>
            <w:r>
              <w:rPr>
                <w:rFonts w:ascii="宋体" w:hAnsi="宋体"/>
                <w:szCs w:val="21"/>
                <w:highlight w:val="none"/>
              </w:rPr>
              <w:instrText xml:space="preserve"> </w:instrText>
            </w:r>
            <w:r>
              <w:rPr>
                <w:rFonts w:hint="eastAsia" w:ascii="宋体" w:hAnsi="宋体"/>
                <w:szCs w:val="21"/>
                <w:highlight w:val="none"/>
              </w:rPr>
              <w:instrText xml:space="preserve">= 1 \* GB3</w:instrText>
            </w:r>
            <w:r>
              <w:rPr>
                <w:rFonts w:ascii="宋体" w:hAnsi="宋体"/>
                <w:szCs w:val="21"/>
                <w:highlight w:val="none"/>
              </w:rPr>
              <w:instrText xml:space="preserve"> </w:instrText>
            </w:r>
            <w:r>
              <w:rPr>
                <w:rFonts w:ascii="宋体" w:hAnsi="宋体"/>
                <w:szCs w:val="21"/>
                <w:highlight w:val="none"/>
              </w:rPr>
              <w:fldChar w:fldCharType="separate"/>
            </w:r>
            <w:r>
              <w:rPr>
                <w:rFonts w:hint="eastAsia" w:ascii="宋体" w:hAnsi="宋体"/>
                <w:szCs w:val="21"/>
                <w:highlight w:val="none"/>
              </w:rPr>
              <w:t>①</w:t>
            </w:r>
            <w:r>
              <w:rPr>
                <w:rFonts w:ascii="宋体" w:hAnsi="宋体"/>
                <w:szCs w:val="21"/>
                <w:highlight w:val="none"/>
              </w:rPr>
              <w:fldChar w:fldCharType="end"/>
            </w:r>
            <w:r>
              <w:rPr>
                <w:rFonts w:hint="eastAsia" w:ascii="宋体" w:hAnsi="宋体"/>
                <w:szCs w:val="21"/>
                <w:highlight w:val="none"/>
              </w:rPr>
              <w:t>采用现金或支票形式的：应由投标人的基本账户一次性汇入招标人指定账户。投标人</w:t>
            </w:r>
            <w:r>
              <w:rPr>
                <w:rFonts w:ascii="宋体" w:hAnsi="宋体"/>
                <w:szCs w:val="21"/>
                <w:highlight w:val="none"/>
              </w:rPr>
              <w:t>应保证</w:t>
            </w:r>
            <w:r>
              <w:rPr>
                <w:rFonts w:hint="eastAsia" w:ascii="宋体" w:hAnsi="宋体"/>
                <w:szCs w:val="21"/>
                <w:highlight w:val="none"/>
              </w:rPr>
              <w:t>上述款项</w:t>
            </w:r>
            <w:r>
              <w:rPr>
                <w:rFonts w:ascii="宋体" w:hAnsi="宋体"/>
                <w:szCs w:val="21"/>
                <w:highlight w:val="none"/>
              </w:rPr>
              <w:t>在</w:t>
            </w:r>
            <w:r>
              <w:rPr>
                <w:rFonts w:hint="eastAsia" w:ascii="宋体" w:hAnsi="宋体"/>
                <w:szCs w:val="21"/>
                <w:highlight w:val="none"/>
              </w:rPr>
              <w:t>投标截止时间前</w:t>
            </w:r>
            <w:r>
              <w:rPr>
                <w:rFonts w:ascii="宋体" w:hAnsi="宋体"/>
                <w:szCs w:val="21"/>
                <w:highlight w:val="none"/>
              </w:rPr>
              <w:t>到达</w:t>
            </w:r>
            <w:r>
              <w:rPr>
                <w:rFonts w:hint="eastAsia" w:ascii="宋体" w:hAnsi="宋体"/>
                <w:szCs w:val="21"/>
                <w:highlight w:val="none"/>
              </w:rPr>
              <w:t>招</w:t>
            </w:r>
            <w:r>
              <w:rPr>
                <w:rFonts w:ascii="宋体" w:hAnsi="宋体"/>
                <w:szCs w:val="21"/>
                <w:highlight w:val="none"/>
              </w:rPr>
              <w:t>标人指定账户，否则视为</w:t>
            </w:r>
            <w:r>
              <w:rPr>
                <w:rFonts w:hint="eastAsia" w:ascii="宋体" w:hAnsi="宋体"/>
                <w:szCs w:val="21"/>
                <w:highlight w:val="none"/>
              </w:rPr>
              <w:t>投</w:t>
            </w:r>
            <w:r>
              <w:rPr>
                <w:rFonts w:ascii="宋体" w:hAnsi="宋体"/>
                <w:szCs w:val="21"/>
                <w:highlight w:val="none"/>
              </w:rPr>
              <w:t>标保证金无效。</w:t>
            </w:r>
          </w:p>
          <w:p w14:paraId="726B7E9F">
            <w:pPr>
              <w:spacing w:line="340" w:lineRule="exact"/>
              <w:jc w:val="left"/>
              <w:rPr>
                <w:rFonts w:hint="eastAsia" w:ascii="宋体" w:hAnsi="宋体"/>
                <w:szCs w:val="21"/>
                <w:highlight w:val="none"/>
              </w:rPr>
            </w:pPr>
            <w:r>
              <w:rPr>
                <w:rFonts w:hint="eastAsia" w:ascii="宋体" w:hAnsi="宋体"/>
                <w:szCs w:val="21"/>
                <w:highlight w:val="none"/>
              </w:rPr>
              <w:t>招标人指定的银行及账号如下：</w:t>
            </w:r>
          </w:p>
          <w:p w14:paraId="20E596AB">
            <w:pPr>
              <w:spacing w:line="340" w:lineRule="exact"/>
              <w:jc w:val="left"/>
              <w:rPr>
                <w:rFonts w:hint="eastAsia" w:ascii="黑体" w:hAnsi="黑体" w:eastAsia="黑体"/>
                <w:szCs w:val="21"/>
                <w:highlight w:val="none"/>
              </w:rPr>
            </w:pPr>
            <w:r>
              <w:rPr>
                <w:rFonts w:hint="eastAsia" w:ascii="黑体" w:hAnsi="黑体" w:eastAsia="黑体"/>
                <w:szCs w:val="21"/>
                <w:highlight w:val="none"/>
              </w:rPr>
              <w:t xml:space="preserve">开户名称：吉林省伟邦公路技术有限公司 </w:t>
            </w:r>
          </w:p>
          <w:p w14:paraId="22D1F02B">
            <w:pPr>
              <w:spacing w:line="340" w:lineRule="exact"/>
              <w:jc w:val="left"/>
              <w:rPr>
                <w:rFonts w:hint="eastAsia" w:ascii="黑体" w:hAnsi="黑体" w:eastAsia="黑体"/>
                <w:szCs w:val="21"/>
                <w:highlight w:val="none"/>
              </w:rPr>
            </w:pPr>
            <w:r>
              <w:rPr>
                <w:rFonts w:hint="eastAsia" w:ascii="黑体" w:hAnsi="黑体" w:eastAsia="黑体"/>
                <w:szCs w:val="21"/>
                <w:highlight w:val="none"/>
              </w:rPr>
              <w:t xml:space="preserve">开户银行：建设银行九台支行 </w:t>
            </w:r>
          </w:p>
          <w:p w14:paraId="6AF7777D">
            <w:pPr>
              <w:spacing w:line="340" w:lineRule="exact"/>
              <w:jc w:val="left"/>
              <w:rPr>
                <w:rFonts w:hint="eastAsia" w:ascii="宋体" w:hAnsi="宋体"/>
                <w:szCs w:val="21"/>
                <w:highlight w:val="none"/>
              </w:rPr>
            </w:pPr>
            <w:r>
              <w:rPr>
                <w:rFonts w:hint="eastAsia" w:ascii="黑体" w:hAnsi="黑体" w:eastAsia="黑体"/>
                <w:szCs w:val="21"/>
                <w:highlight w:val="none"/>
              </w:rPr>
              <w:t>银行账号：22001390100055001391</w:t>
            </w:r>
            <w:r>
              <w:rPr>
                <w:rFonts w:ascii="黑体" w:hAnsi="黑体" w:eastAsia="黑体"/>
                <w:szCs w:val="21"/>
                <w:highlight w:val="none"/>
              </w:rPr>
              <w:cr/>
            </w:r>
            <w:r>
              <w:rPr>
                <w:rFonts w:hint="eastAsia" w:ascii="宋体" w:hAnsi="宋体"/>
                <w:szCs w:val="21"/>
                <w:highlight w:val="none"/>
              </w:rPr>
              <w:t>银行转账业务备注栏可填写：</w:t>
            </w:r>
            <w:r>
              <w:rPr>
                <w:rFonts w:hint="eastAsia" w:ascii="黑体" w:hAnsi="黑体" w:eastAsia="黑体"/>
                <w:szCs w:val="21"/>
                <w:highlight w:val="none"/>
              </w:rPr>
              <w:t>“长榆高速外电施工投标保证金”</w:t>
            </w:r>
            <w:r>
              <w:rPr>
                <w:rFonts w:hint="eastAsia" w:ascii="宋体" w:hAnsi="宋体"/>
                <w:szCs w:val="21"/>
                <w:highlight w:val="none"/>
              </w:rPr>
              <w:t>。</w:t>
            </w:r>
          </w:p>
          <w:p w14:paraId="65005306">
            <w:pPr>
              <w:adjustRightInd w:val="0"/>
              <w:snapToGrid w:val="0"/>
              <w:spacing w:before="36" w:beforeLines="15" w:line="360" w:lineRule="exact"/>
              <w:rPr>
                <w:rFonts w:ascii="宋体"/>
                <w:highlight w:val="none"/>
              </w:rPr>
            </w:pPr>
            <w:r>
              <w:rPr>
                <w:rFonts w:ascii="宋体" w:hAnsi="宋体"/>
                <w:szCs w:val="21"/>
                <w:highlight w:val="none"/>
              </w:rPr>
              <w:fldChar w:fldCharType="begin"/>
            </w:r>
            <w:r>
              <w:rPr>
                <w:rFonts w:ascii="宋体" w:hAnsi="宋体"/>
                <w:szCs w:val="21"/>
                <w:highlight w:val="none"/>
              </w:rPr>
              <w:instrText xml:space="preserve"> </w:instrText>
            </w:r>
            <w:r>
              <w:rPr>
                <w:rFonts w:hint="eastAsia" w:ascii="宋体" w:hAnsi="宋体"/>
                <w:szCs w:val="21"/>
                <w:highlight w:val="none"/>
              </w:rPr>
              <w:instrText xml:space="preserve">= 2 \* GB3</w:instrText>
            </w:r>
            <w:r>
              <w:rPr>
                <w:rFonts w:ascii="宋体" w:hAnsi="宋体"/>
                <w:szCs w:val="21"/>
                <w:highlight w:val="none"/>
              </w:rPr>
              <w:instrText xml:space="preserve"> </w:instrText>
            </w:r>
            <w:r>
              <w:rPr>
                <w:rFonts w:ascii="宋体" w:hAnsi="宋体"/>
                <w:szCs w:val="21"/>
                <w:highlight w:val="none"/>
              </w:rPr>
              <w:fldChar w:fldCharType="separate"/>
            </w:r>
            <w:r>
              <w:rPr>
                <w:rFonts w:hint="eastAsia" w:ascii="宋体" w:hAnsi="宋体"/>
                <w:szCs w:val="21"/>
                <w:highlight w:val="none"/>
              </w:rPr>
              <w:t>②</w:t>
            </w:r>
            <w:r>
              <w:rPr>
                <w:rFonts w:ascii="宋体" w:hAnsi="宋体"/>
                <w:szCs w:val="21"/>
                <w:highlight w:val="none"/>
              </w:rPr>
              <w:fldChar w:fldCharType="end"/>
            </w:r>
            <w:r>
              <w:rPr>
                <w:rFonts w:hint="eastAsia" w:ascii="宋体" w:hAnsi="宋体"/>
                <w:szCs w:val="21"/>
                <w:highlight w:val="none"/>
              </w:rPr>
              <w:t>采用电子保函形式的：应采用在吉林省公共资源交易一体化平台开展电子保函担保业务的第三方服务机构提供的电子保函。</w:t>
            </w:r>
            <w:bookmarkEnd w:id="20"/>
          </w:p>
        </w:tc>
      </w:tr>
      <w:tr w14:paraId="3B09ED5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709877D7">
            <w:pPr>
              <w:adjustRightInd w:val="0"/>
              <w:snapToGrid w:val="0"/>
              <w:spacing w:line="360" w:lineRule="exact"/>
              <w:jc w:val="center"/>
              <w:rPr>
                <w:rFonts w:hint="eastAsia" w:ascii="宋体" w:hAnsi="宋体"/>
                <w:szCs w:val="21"/>
                <w:highlight w:val="none"/>
              </w:rPr>
            </w:pPr>
            <w:r>
              <w:rPr>
                <w:rFonts w:hint="eastAsia" w:ascii="宋体" w:hAnsi="宋体"/>
                <w:bCs/>
                <w:szCs w:val="21"/>
                <w:highlight w:val="none"/>
              </w:rPr>
              <w:t>3.5</w:t>
            </w:r>
          </w:p>
        </w:tc>
        <w:tc>
          <w:tcPr>
            <w:tcW w:w="1105" w:type="pct"/>
            <w:vAlign w:val="center"/>
          </w:tcPr>
          <w:p w14:paraId="243A6EBD">
            <w:pPr>
              <w:adjustRightInd w:val="0"/>
              <w:snapToGrid w:val="0"/>
              <w:spacing w:line="360" w:lineRule="exact"/>
              <w:jc w:val="center"/>
              <w:rPr>
                <w:rFonts w:hint="eastAsia" w:ascii="宋体" w:hAnsi="宋体"/>
                <w:szCs w:val="21"/>
                <w:highlight w:val="none"/>
              </w:rPr>
            </w:pPr>
            <w:r>
              <w:rPr>
                <w:rFonts w:hint="eastAsia" w:hAnsi="宋体"/>
                <w:bCs/>
                <w:szCs w:val="21"/>
                <w:highlight w:val="none"/>
              </w:rPr>
              <w:t>资格审查资料</w:t>
            </w:r>
            <w:r>
              <w:rPr>
                <w:rFonts w:hAnsi="宋体"/>
                <w:bCs/>
                <w:szCs w:val="21"/>
                <w:highlight w:val="none"/>
              </w:rPr>
              <w:br w:type="textWrapping"/>
            </w:r>
            <w:r>
              <w:rPr>
                <w:rFonts w:hint="eastAsia" w:hAnsi="宋体"/>
                <w:bCs/>
                <w:szCs w:val="21"/>
                <w:highlight w:val="none"/>
              </w:rPr>
              <w:t>的特殊要求</w:t>
            </w:r>
          </w:p>
        </w:tc>
        <w:tc>
          <w:tcPr>
            <w:tcW w:w="3492" w:type="pct"/>
            <w:vAlign w:val="center"/>
          </w:tcPr>
          <w:p w14:paraId="70B71768">
            <w:pPr>
              <w:adjustRightInd w:val="0"/>
              <w:snapToGrid w:val="0"/>
              <w:spacing w:line="360" w:lineRule="exact"/>
              <w:rPr>
                <w:rFonts w:hint="eastAsia" w:ascii="宋体" w:hAnsi="宋体" w:cs="宋体"/>
                <w:highlight w:val="none"/>
              </w:rPr>
            </w:pPr>
            <w:r>
              <w:rPr>
                <w:rFonts w:hint="eastAsia" w:ascii="宋体" w:hAnsi="宋体"/>
                <w:bCs/>
                <w:szCs w:val="21"/>
                <w:highlight w:val="none"/>
              </w:rPr>
              <w:t>有，具体要求：投标人须按招标文件第八章“投标文件格式”中规定的表格内容填写资格审查表，</w:t>
            </w:r>
            <w:r>
              <w:rPr>
                <w:rFonts w:hint="eastAsia" w:ascii="黑体" w:hAnsi="黑体" w:eastAsia="黑体"/>
                <w:bCs/>
                <w:szCs w:val="21"/>
                <w:highlight w:val="none"/>
              </w:rPr>
              <w:t>并按资格审查表下方的具体要求提供资格审查资料，</w:t>
            </w:r>
            <w:r>
              <w:rPr>
                <w:rFonts w:hint="eastAsia" w:ascii="宋体" w:hAnsi="宋体"/>
                <w:bCs/>
                <w:szCs w:val="21"/>
                <w:highlight w:val="none"/>
              </w:rPr>
              <w:t>以证明其满足本章第1.4款规定的资质、财务、业绩、信誉、人员等要求。</w:t>
            </w:r>
            <w:r>
              <w:rPr>
                <w:rFonts w:hint="eastAsia" w:ascii="黑体" w:hAnsi="黑体" w:eastAsia="黑体"/>
                <w:bCs/>
                <w:szCs w:val="21"/>
                <w:highlight w:val="none"/>
              </w:rPr>
              <w:t>招标文件中要求投标人提供的各类证照复印件均指彩色扫描件，其他资料的复印件可为黑白扫描件或彩色扫描件。</w:t>
            </w:r>
          </w:p>
        </w:tc>
      </w:tr>
      <w:tr w14:paraId="17C4828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754A6BFD">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3.5.2</w:t>
            </w:r>
          </w:p>
        </w:tc>
        <w:tc>
          <w:tcPr>
            <w:tcW w:w="1105" w:type="pct"/>
            <w:vAlign w:val="center"/>
          </w:tcPr>
          <w:p w14:paraId="431DBDCC">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近年财务状况的</w:t>
            </w:r>
          </w:p>
          <w:p w14:paraId="670722BC">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年份要求</w:t>
            </w:r>
          </w:p>
        </w:tc>
        <w:tc>
          <w:tcPr>
            <w:tcW w:w="3492" w:type="pct"/>
            <w:vAlign w:val="center"/>
          </w:tcPr>
          <w:p w14:paraId="17CC6828">
            <w:pPr>
              <w:adjustRightInd w:val="0"/>
              <w:snapToGrid w:val="0"/>
              <w:spacing w:line="360" w:lineRule="exact"/>
              <w:rPr>
                <w:rFonts w:hint="eastAsia" w:ascii="黑体" w:hAnsi="黑体" w:eastAsia="黑体"/>
                <w:szCs w:val="21"/>
                <w:highlight w:val="none"/>
                <w:u w:val="single"/>
              </w:rPr>
            </w:pPr>
            <w:bookmarkStart w:id="21" w:name="_Hlk208239750"/>
            <w:r>
              <w:rPr>
                <w:rFonts w:ascii="宋体" w:hAnsi="宋体" w:cs="宋体"/>
                <w:highlight w:val="none"/>
              </w:rPr>
              <w:t>“近年财务状况表”应附</w:t>
            </w:r>
            <w:r>
              <w:rPr>
                <w:rFonts w:hint="eastAsia" w:ascii="宋体" w:hAnsi="宋体"/>
                <w:kern w:val="0"/>
                <w:szCs w:val="21"/>
                <w:highlight w:val="none"/>
                <w:lang w:val="zh-CN"/>
              </w:rPr>
              <w:t>投标人近三年（2023年1月1日～投标截止时间）具有良好的商业信誉和健全的财务会计制度的</w:t>
            </w:r>
            <w:r>
              <w:rPr>
                <w:rFonts w:hint="eastAsia" w:ascii="黑体" w:hAnsi="黑体" w:eastAsia="黑体"/>
                <w:kern w:val="0"/>
                <w:szCs w:val="21"/>
                <w:highlight w:val="none"/>
                <w:lang w:val="zh-CN"/>
              </w:rPr>
              <w:t>财务状况承诺函并加盖投标人单位公章</w:t>
            </w:r>
            <w:r>
              <w:rPr>
                <w:rFonts w:hint="eastAsia" w:ascii="宋体" w:hAnsi="宋体"/>
                <w:kern w:val="0"/>
                <w:szCs w:val="21"/>
                <w:highlight w:val="none"/>
                <w:lang w:val="zh-CN"/>
              </w:rPr>
              <w:t>。</w:t>
            </w:r>
            <w:r>
              <w:rPr>
                <w:rFonts w:hint="eastAsia" w:ascii="黑体" w:hAnsi="黑体" w:eastAsia="黑体"/>
                <w:kern w:val="0"/>
                <w:szCs w:val="21"/>
                <w:highlight w:val="none"/>
                <w:lang w:val="zh-CN"/>
              </w:rPr>
              <w:t>除财务状况承诺函外，投标人无须再提供任何财务证明材料。</w:t>
            </w:r>
            <w:bookmarkEnd w:id="21"/>
          </w:p>
        </w:tc>
      </w:tr>
      <w:tr w14:paraId="54C02C4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68D121A7">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3.5.3</w:t>
            </w:r>
          </w:p>
        </w:tc>
        <w:tc>
          <w:tcPr>
            <w:tcW w:w="1105" w:type="pct"/>
            <w:vAlign w:val="center"/>
          </w:tcPr>
          <w:p w14:paraId="3A04F9FB">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近年完成的类似</w:t>
            </w:r>
          </w:p>
          <w:p w14:paraId="6BF6E4C1">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项目的年份要求</w:t>
            </w:r>
          </w:p>
        </w:tc>
        <w:tc>
          <w:tcPr>
            <w:tcW w:w="3492" w:type="pct"/>
            <w:vAlign w:val="center"/>
          </w:tcPr>
          <w:p w14:paraId="79B2A065">
            <w:pPr>
              <w:adjustRightInd w:val="0"/>
              <w:snapToGrid w:val="0"/>
              <w:spacing w:line="360" w:lineRule="exact"/>
              <w:rPr>
                <w:rFonts w:hint="eastAsia" w:ascii="黑体" w:hAnsi="黑体" w:eastAsia="黑体"/>
                <w:szCs w:val="21"/>
                <w:highlight w:val="none"/>
                <w:u w:val="single"/>
              </w:rPr>
            </w:pPr>
            <w:r>
              <w:rPr>
                <w:rFonts w:ascii="宋体" w:hAnsi="宋体"/>
                <w:szCs w:val="21"/>
                <w:highlight w:val="none"/>
                <w:u w:val="single"/>
              </w:rPr>
              <w:t>2023年1月1日至投标截止时间</w:t>
            </w:r>
            <w:r>
              <w:rPr>
                <w:rFonts w:ascii="宋体" w:hAnsi="宋体"/>
                <w:szCs w:val="21"/>
                <w:highlight w:val="none"/>
              </w:rPr>
              <w:t>（以竣工时间为准）</w:t>
            </w:r>
          </w:p>
        </w:tc>
      </w:tr>
      <w:tr w14:paraId="3F1DF8A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6B6F03FE">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3.5.5</w:t>
            </w:r>
          </w:p>
        </w:tc>
        <w:tc>
          <w:tcPr>
            <w:tcW w:w="1105" w:type="pct"/>
            <w:vAlign w:val="center"/>
          </w:tcPr>
          <w:p w14:paraId="1CF91891">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近年发生的诉讼及</w:t>
            </w:r>
          </w:p>
          <w:p w14:paraId="1B303EBB">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仲裁情况的年份要求</w:t>
            </w:r>
          </w:p>
        </w:tc>
        <w:tc>
          <w:tcPr>
            <w:tcW w:w="3492" w:type="pct"/>
            <w:vAlign w:val="center"/>
          </w:tcPr>
          <w:p w14:paraId="24E34D6C">
            <w:pPr>
              <w:adjustRightInd w:val="0"/>
              <w:snapToGrid w:val="0"/>
              <w:spacing w:line="360" w:lineRule="exact"/>
              <w:rPr>
                <w:rFonts w:hint="eastAsia" w:ascii="宋体" w:hAnsi="宋体"/>
                <w:szCs w:val="21"/>
                <w:highlight w:val="none"/>
              </w:rPr>
            </w:pPr>
            <w:r>
              <w:rPr>
                <w:rFonts w:hint="eastAsia" w:ascii="宋体" w:hAnsi="宋体"/>
                <w:szCs w:val="21"/>
                <w:highlight w:val="none"/>
                <w:u w:val="single"/>
              </w:rPr>
              <w:t>2023年1月1日至投标截止时间</w:t>
            </w:r>
          </w:p>
        </w:tc>
      </w:tr>
      <w:tr w14:paraId="5D85506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7BD834DE">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3.6</w:t>
            </w:r>
          </w:p>
        </w:tc>
        <w:tc>
          <w:tcPr>
            <w:tcW w:w="1105" w:type="pct"/>
            <w:vAlign w:val="center"/>
          </w:tcPr>
          <w:p w14:paraId="30711692">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是否允许递交</w:t>
            </w:r>
          </w:p>
          <w:p w14:paraId="7D7BA47F">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备选投标方案</w:t>
            </w:r>
          </w:p>
        </w:tc>
        <w:tc>
          <w:tcPr>
            <w:tcW w:w="3492" w:type="pct"/>
            <w:vAlign w:val="center"/>
          </w:tcPr>
          <w:p w14:paraId="0B628497">
            <w:pPr>
              <w:adjustRightInd w:val="0"/>
              <w:snapToGrid w:val="0"/>
              <w:spacing w:line="360" w:lineRule="exact"/>
              <w:rPr>
                <w:rFonts w:hint="eastAsia" w:ascii="宋体" w:hAnsi="宋体"/>
                <w:szCs w:val="21"/>
                <w:highlight w:val="none"/>
              </w:rPr>
            </w:pPr>
            <w:r>
              <w:rPr>
                <w:rFonts w:ascii="宋体" w:hAnsi="宋体"/>
                <w:szCs w:val="21"/>
                <w:highlight w:val="none"/>
              </w:rPr>
              <w:t>不允许</w:t>
            </w:r>
          </w:p>
        </w:tc>
      </w:tr>
      <w:tr w14:paraId="5586393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768" w:hRule="atLeast"/>
          <w:jc w:val="center"/>
        </w:trPr>
        <w:tc>
          <w:tcPr>
            <w:tcW w:w="403" w:type="pct"/>
            <w:vAlign w:val="center"/>
          </w:tcPr>
          <w:p w14:paraId="5E6B2895">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3.7.3</w:t>
            </w:r>
          </w:p>
        </w:tc>
        <w:tc>
          <w:tcPr>
            <w:tcW w:w="1105" w:type="pct"/>
            <w:vAlign w:val="center"/>
          </w:tcPr>
          <w:p w14:paraId="5000C4CE">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签字或</w:t>
            </w:r>
          </w:p>
          <w:p w14:paraId="488AE329">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盖章要求</w:t>
            </w:r>
          </w:p>
        </w:tc>
        <w:tc>
          <w:tcPr>
            <w:tcW w:w="3492" w:type="pct"/>
            <w:vAlign w:val="center"/>
          </w:tcPr>
          <w:p w14:paraId="61742A5F">
            <w:pPr>
              <w:adjustRightInd w:val="0"/>
              <w:snapToGrid w:val="0"/>
              <w:spacing w:line="340" w:lineRule="exact"/>
              <w:ind w:firstLine="420" w:firstLineChars="200"/>
              <w:rPr>
                <w:rFonts w:hint="eastAsia" w:ascii="宋体" w:hAnsi="宋体"/>
                <w:szCs w:val="21"/>
                <w:highlight w:val="none"/>
              </w:rPr>
            </w:pPr>
            <w:r>
              <w:rPr>
                <w:rFonts w:hint="eastAsia" w:ascii="宋体" w:hAnsi="宋体"/>
                <w:szCs w:val="21"/>
                <w:highlight w:val="none"/>
              </w:rPr>
              <w:t>除有特殊说明外（如授权委托书、承诺），第八章“投标文件格式”中要求盖单位章和（或）签字的地方，投标人均应使用CA数字证书加盖投标人的单位电子印章和（或）法定代表人的个人电子印章或电子签名章（投标人仅须在投标函上加盖投标人的单位电子印章，或加盖法定代表人的个人电子印章或电子签名章）。</w:t>
            </w:r>
          </w:p>
          <w:p w14:paraId="1CC89198">
            <w:pPr>
              <w:autoSpaceDE w:val="0"/>
              <w:autoSpaceDN w:val="0"/>
              <w:adjustRightInd w:val="0"/>
              <w:snapToGrid w:val="0"/>
              <w:spacing w:line="360" w:lineRule="exact"/>
              <w:ind w:firstLine="420" w:firstLineChars="200"/>
              <w:jc w:val="left"/>
              <w:rPr>
                <w:rFonts w:hint="eastAsia" w:ascii="隶书" w:hAnsi="宋体"/>
                <w:szCs w:val="21"/>
                <w:highlight w:val="none"/>
              </w:rPr>
            </w:pPr>
            <w:r>
              <w:rPr>
                <w:rFonts w:hint="eastAsia" w:ascii="宋体" w:hAnsi="宋体"/>
                <w:caps/>
                <w:szCs w:val="21"/>
                <w:highlight w:val="none"/>
              </w:rPr>
              <w:t>第八章 “投标文件格式”中授权委托书及承诺（含投标人自拟格式承诺）要求委托代理人签字的地方，投标人可使用CA数字证书加盖委托代理人的个人电子印章或电子签名章，或者按要求盖单位章和签字的地方，均加盖投标人单位章和由相关人员亲笔签字后，上传原件的彩色扫描件。</w:t>
            </w:r>
          </w:p>
        </w:tc>
      </w:tr>
      <w:tr w14:paraId="2F069F8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39" w:hRule="atLeast"/>
          <w:jc w:val="center"/>
        </w:trPr>
        <w:tc>
          <w:tcPr>
            <w:tcW w:w="403" w:type="pct"/>
            <w:vAlign w:val="center"/>
          </w:tcPr>
          <w:p w14:paraId="470C39B9">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4.2.3</w:t>
            </w:r>
          </w:p>
        </w:tc>
        <w:tc>
          <w:tcPr>
            <w:tcW w:w="1105" w:type="pct"/>
            <w:vAlign w:val="center"/>
          </w:tcPr>
          <w:p w14:paraId="3B0F4CB1">
            <w:pPr>
              <w:adjustRightInd w:val="0"/>
              <w:snapToGrid w:val="0"/>
              <w:spacing w:line="360" w:lineRule="exact"/>
              <w:jc w:val="center"/>
              <w:rPr>
                <w:rFonts w:hint="eastAsia" w:ascii="宋体" w:hAnsi="宋体" w:cs="宋体"/>
                <w:kern w:val="0"/>
                <w:szCs w:val="21"/>
                <w:highlight w:val="none"/>
                <w:lang w:val="zh-CN"/>
              </w:rPr>
            </w:pPr>
            <w:r>
              <w:rPr>
                <w:rFonts w:hint="eastAsia" w:ascii="宋体" w:hAnsi="宋体" w:cs="宋体"/>
                <w:kern w:val="0"/>
                <w:szCs w:val="21"/>
                <w:highlight w:val="none"/>
                <w:lang w:val="zh-CN"/>
              </w:rPr>
              <w:t>是否退还投标文件</w:t>
            </w:r>
          </w:p>
        </w:tc>
        <w:tc>
          <w:tcPr>
            <w:tcW w:w="3492" w:type="pct"/>
            <w:vAlign w:val="center"/>
          </w:tcPr>
          <w:p w14:paraId="54FDFE03">
            <w:pPr>
              <w:adjustRightInd w:val="0"/>
              <w:snapToGrid w:val="0"/>
              <w:spacing w:line="360" w:lineRule="exact"/>
              <w:rPr>
                <w:rFonts w:hint="eastAsia" w:ascii="宋体" w:hAnsi="宋体" w:cs="宋体"/>
                <w:kern w:val="0"/>
                <w:szCs w:val="21"/>
                <w:highlight w:val="none"/>
                <w:lang w:val="zh-CN"/>
              </w:rPr>
            </w:pPr>
            <w:r>
              <w:rPr>
                <w:rFonts w:ascii="宋体" w:hAnsi="宋体" w:cs="宋体"/>
                <w:kern w:val="0"/>
                <w:szCs w:val="21"/>
                <w:highlight w:val="none"/>
                <w:lang w:val="zh-CN"/>
              </w:rPr>
              <w:t>否</w:t>
            </w:r>
          </w:p>
        </w:tc>
      </w:tr>
      <w:tr w14:paraId="0938ABA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1080" w:hRule="atLeast"/>
          <w:jc w:val="center"/>
        </w:trPr>
        <w:tc>
          <w:tcPr>
            <w:tcW w:w="403" w:type="pct"/>
            <w:vAlign w:val="center"/>
          </w:tcPr>
          <w:p w14:paraId="2C227068">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5.1</w:t>
            </w:r>
          </w:p>
        </w:tc>
        <w:tc>
          <w:tcPr>
            <w:tcW w:w="1105" w:type="pct"/>
            <w:vAlign w:val="center"/>
          </w:tcPr>
          <w:p w14:paraId="403F1D5F">
            <w:pPr>
              <w:spacing w:line="360" w:lineRule="exact"/>
              <w:contextualSpacing/>
              <w:jc w:val="center"/>
              <w:rPr>
                <w:rFonts w:hint="eastAsia" w:ascii="宋体" w:hAnsi="宋体"/>
                <w:szCs w:val="21"/>
                <w:highlight w:val="none"/>
              </w:rPr>
            </w:pPr>
            <w:r>
              <w:rPr>
                <w:rFonts w:hint="eastAsia" w:ascii="宋体" w:hAnsi="宋体"/>
                <w:szCs w:val="21"/>
                <w:highlight w:val="none"/>
              </w:rPr>
              <w:t>开标时间和地点</w:t>
            </w:r>
          </w:p>
        </w:tc>
        <w:tc>
          <w:tcPr>
            <w:tcW w:w="3492" w:type="pct"/>
            <w:vAlign w:val="center"/>
          </w:tcPr>
          <w:p w14:paraId="1203F6E0">
            <w:pPr>
              <w:spacing w:line="360" w:lineRule="exact"/>
              <w:contextualSpacing/>
              <w:rPr>
                <w:rFonts w:hint="eastAsia" w:ascii="宋体" w:hAnsi="宋体"/>
                <w:szCs w:val="21"/>
                <w:highlight w:val="none"/>
              </w:rPr>
            </w:pPr>
            <w:r>
              <w:rPr>
                <w:rFonts w:hint="eastAsia" w:ascii="宋体" w:hAnsi="宋体"/>
                <w:szCs w:val="21"/>
                <w:highlight w:val="none"/>
              </w:rPr>
              <w:t>开标时间：</w:t>
            </w:r>
            <w:r>
              <w:rPr>
                <w:rFonts w:hint="eastAsia" w:ascii="黑体" w:hAnsi="黑体" w:eastAsia="黑体"/>
                <w:szCs w:val="21"/>
                <w:highlight w:val="none"/>
                <w:u w:val="single"/>
              </w:rPr>
              <w:t>2026年11月13日9时0</w:t>
            </w:r>
            <w:r>
              <w:rPr>
                <w:rFonts w:ascii="黑体" w:hAnsi="黑体" w:eastAsia="黑体"/>
                <w:szCs w:val="21"/>
                <w:highlight w:val="none"/>
                <w:u w:val="single"/>
              </w:rPr>
              <w:t>0</w:t>
            </w:r>
            <w:r>
              <w:rPr>
                <w:rFonts w:hint="eastAsia" w:ascii="黑体" w:hAnsi="黑体" w:eastAsia="黑体"/>
                <w:szCs w:val="21"/>
                <w:highlight w:val="none"/>
                <w:u w:val="single"/>
              </w:rPr>
              <w:t>分</w:t>
            </w:r>
          </w:p>
          <w:p w14:paraId="281D5AFF">
            <w:pPr>
              <w:pStyle w:val="54"/>
              <w:spacing w:after="0" w:line="360" w:lineRule="exact"/>
              <w:ind w:firstLine="0"/>
              <w:rPr>
                <w:rFonts w:hint="eastAsia" w:ascii="宋体" w:hAnsi="宋体"/>
                <w:szCs w:val="21"/>
                <w:highlight w:val="none"/>
              </w:rPr>
            </w:pPr>
            <w:r>
              <w:rPr>
                <w:rFonts w:hint="eastAsia" w:ascii="宋体" w:hAnsi="宋体"/>
                <w:szCs w:val="21"/>
                <w:highlight w:val="none"/>
              </w:rPr>
              <w:t>开标地点：</w:t>
            </w:r>
            <w:r>
              <w:rPr>
                <w:rFonts w:hint="eastAsia" w:ascii="宋体" w:hAnsi="宋体"/>
                <w:color w:val="000000"/>
                <w:szCs w:val="21"/>
                <w:highlight w:val="none"/>
                <w:u w:val="single"/>
              </w:rPr>
              <w:t>吉林省公共资源交易中心四楼开标区</w:t>
            </w:r>
          </w:p>
        </w:tc>
      </w:tr>
      <w:tr w14:paraId="148992C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617" w:hRule="atLeast"/>
          <w:jc w:val="center"/>
        </w:trPr>
        <w:tc>
          <w:tcPr>
            <w:tcW w:w="403" w:type="pct"/>
            <w:vAlign w:val="center"/>
          </w:tcPr>
          <w:p w14:paraId="5E1CDB6F">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5.2</w:t>
            </w:r>
          </w:p>
        </w:tc>
        <w:tc>
          <w:tcPr>
            <w:tcW w:w="1105" w:type="pct"/>
            <w:vAlign w:val="center"/>
          </w:tcPr>
          <w:p w14:paraId="141B2803">
            <w:pPr>
              <w:adjustRightInd w:val="0"/>
              <w:snapToGrid w:val="0"/>
              <w:spacing w:line="360" w:lineRule="exact"/>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开标程序</w:t>
            </w:r>
          </w:p>
        </w:tc>
        <w:tc>
          <w:tcPr>
            <w:tcW w:w="3492" w:type="pct"/>
            <w:vAlign w:val="center"/>
          </w:tcPr>
          <w:p w14:paraId="70DACA23">
            <w:pPr>
              <w:adjustRightInd w:val="0"/>
              <w:snapToGrid w:val="0"/>
              <w:spacing w:line="360" w:lineRule="exact"/>
              <w:rPr>
                <w:rFonts w:hint="eastAsia" w:ascii="宋体" w:hAnsi="宋体"/>
                <w:szCs w:val="21"/>
                <w:highlight w:val="none"/>
              </w:rPr>
            </w:pPr>
            <w:r>
              <w:rPr>
                <w:rFonts w:hint="eastAsia" w:ascii="宋体" w:hAnsi="宋体"/>
                <w:szCs w:val="21"/>
                <w:highlight w:val="none"/>
              </w:rPr>
              <w:t>开标顺序：</w:t>
            </w:r>
            <w:r>
              <w:rPr>
                <w:rFonts w:hint="eastAsia" w:ascii="宋体" w:hAnsi="宋体"/>
                <w:szCs w:val="21"/>
                <w:highlight w:val="none"/>
                <w:lang w:val="zh-CN"/>
              </w:rPr>
              <w:t>按平台系统顺序进行</w:t>
            </w:r>
          </w:p>
        </w:tc>
      </w:tr>
      <w:tr w14:paraId="73FB9FC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793" w:hRule="atLeast"/>
          <w:jc w:val="center"/>
        </w:trPr>
        <w:tc>
          <w:tcPr>
            <w:tcW w:w="403" w:type="pct"/>
            <w:vAlign w:val="center"/>
          </w:tcPr>
          <w:p w14:paraId="7CCFE1A2">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6.1.1</w:t>
            </w:r>
          </w:p>
        </w:tc>
        <w:tc>
          <w:tcPr>
            <w:tcW w:w="1105" w:type="pct"/>
            <w:vAlign w:val="center"/>
          </w:tcPr>
          <w:p w14:paraId="4E0FF6CB">
            <w:pPr>
              <w:adjustRightInd w:val="0"/>
              <w:snapToGrid w:val="0"/>
              <w:spacing w:line="360" w:lineRule="exact"/>
              <w:jc w:val="center"/>
              <w:rPr>
                <w:rFonts w:hint="eastAsia" w:ascii="宋体" w:hAnsi="宋体"/>
                <w:szCs w:val="21"/>
                <w:highlight w:val="none"/>
              </w:rPr>
            </w:pPr>
            <w:r>
              <w:rPr>
                <w:rFonts w:hint="eastAsia" w:ascii="宋体" w:hAnsi="宋体"/>
                <w:szCs w:val="21"/>
                <w:highlight w:val="none"/>
              </w:rPr>
              <w:t>评标委员会的组建</w:t>
            </w:r>
          </w:p>
        </w:tc>
        <w:tc>
          <w:tcPr>
            <w:tcW w:w="3492" w:type="pct"/>
            <w:vAlign w:val="center"/>
          </w:tcPr>
          <w:p w14:paraId="557B95CC">
            <w:pPr>
              <w:adjustRightInd w:val="0"/>
              <w:snapToGrid w:val="0"/>
              <w:rPr>
                <w:rFonts w:hint="eastAsia" w:ascii="宋体" w:hAnsi="宋体"/>
                <w:highlight w:val="none"/>
              </w:rPr>
            </w:pPr>
            <w:r>
              <w:rPr>
                <w:rFonts w:hint="eastAsia" w:ascii="宋体" w:hAnsi="宋体"/>
                <w:highlight w:val="none"/>
              </w:rPr>
              <w:t>评标委员会构成：5人，其中招标人代表0人，专家5人。</w:t>
            </w:r>
          </w:p>
          <w:p w14:paraId="012E9AF7">
            <w:pPr>
              <w:adjustRightInd w:val="0"/>
              <w:snapToGrid w:val="0"/>
              <w:spacing w:line="360" w:lineRule="exact"/>
              <w:rPr>
                <w:rFonts w:hint="eastAsia" w:ascii="宋体" w:hAnsi="宋体"/>
                <w:i/>
                <w:szCs w:val="21"/>
                <w:highlight w:val="none"/>
              </w:rPr>
            </w:pPr>
            <w:r>
              <w:rPr>
                <w:rFonts w:hint="eastAsia" w:ascii="宋体" w:hAnsi="宋体"/>
                <w:szCs w:val="21"/>
                <w:highlight w:val="none"/>
              </w:rPr>
              <w:t>评标专家确定方式：依法从评标专家库中随机抽取</w:t>
            </w:r>
          </w:p>
        </w:tc>
      </w:tr>
      <w:tr w14:paraId="3348DDD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381" w:hRule="atLeast"/>
          <w:jc w:val="center"/>
        </w:trPr>
        <w:tc>
          <w:tcPr>
            <w:tcW w:w="403" w:type="pct"/>
            <w:vAlign w:val="center"/>
          </w:tcPr>
          <w:p w14:paraId="5CEFDBF5">
            <w:pPr>
              <w:adjustRightInd w:val="0"/>
              <w:snapToGrid w:val="0"/>
              <w:spacing w:line="360" w:lineRule="exact"/>
              <w:jc w:val="center"/>
              <w:rPr>
                <w:rFonts w:hint="eastAsia" w:ascii="宋体" w:hAnsi="宋体"/>
                <w:szCs w:val="21"/>
                <w:highlight w:val="none"/>
              </w:rPr>
            </w:pPr>
            <w:r>
              <w:rPr>
                <w:rFonts w:hint="eastAsia" w:ascii="宋体" w:hAnsi="宋体"/>
                <w:bCs/>
                <w:color w:val="000000" w:themeColor="text1"/>
                <w:szCs w:val="21"/>
                <w:highlight w:val="none"/>
              </w:rPr>
              <w:t>6.3.2</w:t>
            </w:r>
          </w:p>
        </w:tc>
        <w:tc>
          <w:tcPr>
            <w:tcW w:w="1105" w:type="pct"/>
            <w:vAlign w:val="center"/>
          </w:tcPr>
          <w:p w14:paraId="78D63844">
            <w:pPr>
              <w:adjustRightInd w:val="0"/>
              <w:snapToGrid w:val="0"/>
              <w:spacing w:line="360" w:lineRule="exact"/>
              <w:jc w:val="center"/>
              <w:rPr>
                <w:rFonts w:hint="eastAsia" w:ascii="宋体" w:hAnsi="宋体"/>
                <w:szCs w:val="21"/>
                <w:highlight w:val="none"/>
              </w:rPr>
            </w:pPr>
            <w:r>
              <w:rPr>
                <w:rFonts w:hint="eastAsia" w:hAnsi="宋体"/>
                <w:bCs/>
                <w:color w:val="000000" w:themeColor="text1"/>
                <w:szCs w:val="21"/>
                <w:highlight w:val="none"/>
              </w:rPr>
              <w:t>评标委员会</w:t>
            </w:r>
            <w:r>
              <w:rPr>
                <w:rFonts w:hAnsi="宋体"/>
                <w:bCs/>
                <w:color w:val="000000" w:themeColor="text1"/>
                <w:szCs w:val="21"/>
                <w:highlight w:val="none"/>
              </w:rPr>
              <w:br w:type="textWrapping"/>
            </w:r>
            <w:r>
              <w:rPr>
                <w:rFonts w:hint="eastAsia" w:hAnsi="宋体"/>
                <w:bCs/>
                <w:color w:val="000000" w:themeColor="text1"/>
                <w:szCs w:val="21"/>
                <w:highlight w:val="none"/>
              </w:rPr>
              <w:t>推荐中标候选人的人数</w:t>
            </w:r>
          </w:p>
        </w:tc>
        <w:tc>
          <w:tcPr>
            <w:tcW w:w="3492" w:type="pct"/>
            <w:vAlign w:val="center"/>
          </w:tcPr>
          <w:p w14:paraId="4D3988FB">
            <w:pPr>
              <w:adjustRightInd w:val="0"/>
              <w:snapToGrid w:val="0"/>
              <w:rPr>
                <w:rFonts w:hint="eastAsia" w:ascii="宋体" w:hAnsi="宋体"/>
                <w:highlight w:val="none"/>
              </w:rPr>
            </w:pPr>
            <w:r>
              <w:rPr>
                <w:rFonts w:hint="eastAsia" w:ascii="宋体" w:hAnsi="宋体"/>
                <w:bCs/>
                <w:color w:val="000000" w:themeColor="text1"/>
                <w:szCs w:val="21"/>
                <w:highlight w:val="none"/>
              </w:rPr>
              <w:t>1名</w:t>
            </w:r>
          </w:p>
        </w:tc>
      </w:tr>
      <w:tr w14:paraId="5E2F78A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833" w:hRule="atLeast"/>
          <w:jc w:val="center"/>
        </w:trPr>
        <w:tc>
          <w:tcPr>
            <w:tcW w:w="403" w:type="pct"/>
            <w:vAlign w:val="center"/>
          </w:tcPr>
          <w:p w14:paraId="172CF83A">
            <w:pPr>
              <w:spacing w:line="360" w:lineRule="exact"/>
              <w:jc w:val="center"/>
              <w:rPr>
                <w:rFonts w:hint="eastAsia" w:ascii="宋体" w:hAnsi="宋体"/>
                <w:szCs w:val="21"/>
                <w:highlight w:val="none"/>
              </w:rPr>
            </w:pPr>
            <w:r>
              <w:rPr>
                <w:rFonts w:ascii="宋体" w:hAnsi="宋体"/>
                <w:bCs/>
                <w:color w:val="000000" w:themeColor="text1"/>
                <w:szCs w:val="21"/>
                <w:highlight w:val="none"/>
              </w:rPr>
              <w:t>7.1</w:t>
            </w:r>
          </w:p>
        </w:tc>
        <w:tc>
          <w:tcPr>
            <w:tcW w:w="1105" w:type="pct"/>
            <w:vAlign w:val="center"/>
          </w:tcPr>
          <w:p w14:paraId="1E8A30E4">
            <w:pPr>
              <w:adjustRightInd w:val="0"/>
              <w:snapToGrid w:val="0"/>
              <w:spacing w:line="340" w:lineRule="exact"/>
              <w:jc w:val="center"/>
              <w:rPr>
                <w:rFonts w:hint="eastAsia" w:ascii="宋体" w:hAnsi="宋体"/>
                <w:bCs/>
                <w:color w:val="000000" w:themeColor="text1"/>
                <w:szCs w:val="21"/>
                <w:highlight w:val="none"/>
              </w:rPr>
            </w:pPr>
            <w:r>
              <w:rPr>
                <w:rFonts w:hint="eastAsia" w:ascii="宋体" w:hAnsi="宋体"/>
                <w:bCs/>
                <w:color w:val="000000" w:themeColor="text1"/>
                <w:szCs w:val="21"/>
                <w:highlight w:val="none"/>
              </w:rPr>
              <w:t>中标候选人</w:t>
            </w:r>
          </w:p>
          <w:p w14:paraId="36824E74">
            <w:pPr>
              <w:adjustRightInd w:val="0"/>
              <w:snapToGrid w:val="0"/>
              <w:spacing w:line="340" w:lineRule="exact"/>
              <w:jc w:val="center"/>
              <w:rPr>
                <w:rFonts w:hint="eastAsia" w:ascii="宋体" w:hAnsi="宋体"/>
                <w:bCs/>
                <w:color w:val="000000" w:themeColor="text1"/>
                <w:szCs w:val="21"/>
                <w:highlight w:val="none"/>
              </w:rPr>
            </w:pPr>
            <w:r>
              <w:rPr>
                <w:rFonts w:hint="eastAsia" w:ascii="宋体" w:hAnsi="宋体"/>
                <w:bCs/>
                <w:color w:val="000000" w:themeColor="text1"/>
                <w:szCs w:val="21"/>
                <w:highlight w:val="none"/>
              </w:rPr>
              <w:t>公示媒介及</w:t>
            </w:r>
          </w:p>
          <w:p w14:paraId="333B75CE">
            <w:pPr>
              <w:spacing w:line="360" w:lineRule="exact"/>
              <w:ind w:firstLine="90" w:firstLineChars="43"/>
              <w:jc w:val="center"/>
              <w:rPr>
                <w:rFonts w:hint="eastAsia" w:ascii="宋体" w:hAnsi="宋体"/>
                <w:szCs w:val="21"/>
                <w:highlight w:val="none"/>
              </w:rPr>
            </w:pPr>
            <w:r>
              <w:rPr>
                <w:rFonts w:hint="eastAsia" w:ascii="宋体" w:hAnsi="宋体"/>
                <w:bCs/>
                <w:color w:val="000000" w:themeColor="text1"/>
                <w:szCs w:val="21"/>
                <w:highlight w:val="none"/>
              </w:rPr>
              <w:t>期限</w:t>
            </w:r>
          </w:p>
        </w:tc>
        <w:tc>
          <w:tcPr>
            <w:tcW w:w="3492" w:type="pct"/>
            <w:vAlign w:val="center"/>
          </w:tcPr>
          <w:p w14:paraId="24B271E6">
            <w:pPr>
              <w:adjustRightInd w:val="0"/>
              <w:snapToGrid w:val="0"/>
              <w:spacing w:line="340" w:lineRule="exact"/>
              <w:ind w:firstLine="210" w:firstLineChars="100"/>
              <w:rPr>
                <w:rFonts w:hint="eastAsia" w:ascii="宋体" w:hAnsi="宋体"/>
                <w:bCs/>
                <w:color w:val="000000" w:themeColor="text1"/>
                <w:szCs w:val="21"/>
                <w:highlight w:val="none"/>
              </w:rPr>
            </w:pPr>
            <w:r>
              <w:rPr>
                <w:rFonts w:hint="eastAsia" w:ascii="宋体" w:hAnsi="宋体"/>
                <w:bCs/>
                <w:color w:val="000000" w:themeColor="text1"/>
                <w:szCs w:val="21"/>
                <w:highlight w:val="none"/>
              </w:rPr>
              <w:t>公示媒介：中国招标投标公共服务平台、吉林省公共资源交易中心网（同步推送到吉林省公共资源交易公共服务平台）、吉林省交通运输厅网站、长春市交通运输局网站。</w:t>
            </w:r>
          </w:p>
          <w:p w14:paraId="6CC85387">
            <w:pPr>
              <w:adjustRightInd w:val="0"/>
              <w:snapToGrid w:val="0"/>
              <w:spacing w:line="340" w:lineRule="exact"/>
              <w:ind w:firstLine="210" w:firstLineChars="100"/>
              <w:rPr>
                <w:rFonts w:hint="eastAsia" w:ascii="宋体" w:hAnsi="宋体"/>
                <w:bCs/>
                <w:color w:val="000000" w:themeColor="text1"/>
                <w:szCs w:val="21"/>
                <w:highlight w:val="none"/>
              </w:rPr>
            </w:pPr>
            <w:r>
              <w:rPr>
                <w:rFonts w:hint="eastAsia" w:ascii="宋体" w:hAnsi="宋体"/>
                <w:bCs/>
                <w:color w:val="000000" w:themeColor="text1"/>
                <w:szCs w:val="21"/>
                <w:highlight w:val="none"/>
              </w:rPr>
              <w:t>公示期限：不少于3日</w:t>
            </w:r>
          </w:p>
          <w:p w14:paraId="0B23242D">
            <w:pPr>
              <w:spacing w:line="360" w:lineRule="exact"/>
              <w:ind w:firstLine="210" w:firstLineChars="100"/>
              <w:rPr>
                <w:rFonts w:hint="eastAsia" w:ascii="宋体" w:hAnsi="宋体"/>
                <w:szCs w:val="21"/>
                <w:highlight w:val="none"/>
              </w:rPr>
            </w:pPr>
            <w:r>
              <w:rPr>
                <w:rFonts w:hint="eastAsia" w:ascii="宋体" w:hAnsi="宋体"/>
                <w:bCs/>
                <w:color w:val="000000" w:themeColor="text1"/>
                <w:szCs w:val="21"/>
                <w:highlight w:val="none"/>
              </w:rPr>
              <w:t>公示的其他内容：/</w:t>
            </w:r>
          </w:p>
        </w:tc>
      </w:tr>
      <w:tr w14:paraId="58F03DC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833" w:hRule="atLeast"/>
          <w:jc w:val="center"/>
        </w:trPr>
        <w:tc>
          <w:tcPr>
            <w:tcW w:w="403" w:type="pct"/>
            <w:vAlign w:val="center"/>
          </w:tcPr>
          <w:p w14:paraId="40A235D3">
            <w:pPr>
              <w:spacing w:line="360" w:lineRule="exact"/>
              <w:jc w:val="center"/>
              <w:rPr>
                <w:rFonts w:hint="eastAsia" w:ascii="宋体" w:hAnsi="宋体"/>
                <w:szCs w:val="21"/>
                <w:highlight w:val="none"/>
              </w:rPr>
            </w:pPr>
            <w:r>
              <w:rPr>
                <w:rFonts w:hint="eastAsia" w:ascii="宋体" w:hAnsi="宋体"/>
                <w:bCs/>
                <w:color w:val="000000" w:themeColor="text1"/>
                <w:szCs w:val="21"/>
                <w:highlight w:val="none"/>
              </w:rPr>
              <w:t>7.4</w:t>
            </w:r>
          </w:p>
        </w:tc>
        <w:tc>
          <w:tcPr>
            <w:tcW w:w="1105" w:type="pct"/>
            <w:vAlign w:val="center"/>
          </w:tcPr>
          <w:p w14:paraId="29F7BCF1">
            <w:pPr>
              <w:spacing w:line="360" w:lineRule="exact"/>
              <w:ind w:firstLine="90" w:firstLineChars="43"/>
              <w:jc w:val="center"/>
              <w:rPr>
                <w:rFonts w:hint="eastAsia" w:ascii="宋体" w:hAnsi="宋体"/>
                <w:szCs w:val="21"/>
                <w:highlight w:val="none"/>
              </w:rPr>
            </w:pPr>
            <w:r>
              <w:rPr>
                <w:rFonts w:hint="eastAsia" w:ascii="宋体" w:hAnsi="宋体"/>
                <w:bCs/>
                <w:color w:val="000000" w:themeColor="text1"/>
                <w:szCs w:val="21"/>
                <w:highlight w:val="none"/>
              </w:rPr>
              <w:t>是否授权评标委员会确定中标人</w:t>
            </w:r>
          </w:p>
        </w:tc>
        <w:tc>
          <w:tcPr>
            <w:tcW w:w="3492" w:type="pct"/>
            <w:vAlign w:val="center"/>
          </w:tcPr>
          <w:p w14:paraId="20182280">
            <w:pPr>
              <w:spacing w:line="360" w:lineRule="exact"/>
              <w:rPr>
                <w:rFonts w:hint="eastAsia" w:ascii="宋体" w:hAnsi="宋体"/>
                <w:szCs w:val="21"/>
                <w:highlight w:val="none"/>
              </w:rPr>
            </w:pPr>
            <w:r>
              <w:rPr>
                <w:rFonts w:hint="eastAsia" w:ascii="宋体" w:hAnsi="宋体"/>
                <w:bCs/>
                <w:color w:val="000000" w:themeColor="text1"/>
                <w:szCs w:val="21"/>
                <w:highlight w:val="none"/>
              </w:rPr>
              <w:t>否</w:t>
            </w:r>
          </w:p>
        </w:tc>
      </w:tr>
      <w:tr w14:paraId="641836B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833" w:hRule="atLeast"/>
          <w:jc w:val="center"/>
        </w:trPr>
        <w:tc>
          <w:tcPr>
            <w:tcW w:w="403" w:type="pct"/>
            <w:vAlign w:val="center"/>
          </w:tcPr>
          <w:p w14:paraId="5D253876">
            <w:pPr>
              <w:spacing w:line="360" w:lineRule="exact"/>
              <w:jc w:val="center"/>
              <w:rPr>
                <w:rFonts w:hint="eastAsia" w:ascii="宋体" w:hAnsi="宋体"/>
                <w:szCs w:val="21"/>
                <w:highlight w:val="none"/>
              </w:rPr>
            </w:pPr>
            <w:r>
              <w:rPr>
                <w:rFonts w:hint="eastAsia" w:ascii="宋体" w:hAnsi="宋体"/>
                <w:bCs/>
                <w:color w:val="000000" w:themeColor="text1"/>
                <w:szCs w:val="21"/>
                <w:highlight w:val="none"/>
              </w:rPr>
              <w:t>7.6</w:t>
            </w:r>
          </w:p>
        </w:tc>
        <w:tc>
          <w:tcPr>
            <w:tcW w:w="1105" w:type="pct"/>
            <w:vAlign w:val="center"/>
          </w:tcPr>
          <w:p w14:paraId="77F3F8E8">
            <w:pPr>
              <w:spacing w:line="360" w:lineRule="exact"/>
              <w:ind w:firstLine="90" w:firstLineChars="43"/>
              <w:jc w:val="center"/>
              <w:rPr>
                <w:rFonts w:hint="eastAsia" w:ascii="宋体" w:hAnsi="宋体"/>
                <w:szCs w:val="21"/>
                <w:highlight w:val="none"/>
              </w:rPr>
            </w:pPr>
            <w:r>
              <w:rPr>
                <w:rFonts w:hint="eastAsia" w:ascii="宋体" w:hAnsi="宋体"/>
                <w:bCs/>
                <w:color w:val="000000" w:themeColor="text1"/>
                <w:szCs w:val="21"/>
                <w:highlight w:val="none"/>
              </w:rPr>
              <w:t>中标结果公告</w:t>
            </w:r>
            <w:r>
              <w:rPr>
                <w:rFonts w:ascii="宋体" w:hAnsi="宋体"/>
                <w:bCs/>
                <w:color w:val="000000" w:themeColor="text1"/>
                <w:szCs w:val="21"/>
                <w:highlight w:val="none"/>
              </w:rPr>
              <w:br w:type="textWrapping"/>
            </w:r>
            <w:r>
              <w:rPr>
                <w:rFonts w:hint="eastAsia" w:ascii="宋体" w:hAnsi="宋体"/>
                <w:bCs/>
                <w:color w:val="000000" w:themeColor="text1"/>
                <w:szCs w:val="21"/>
                <w:highlight w:val="none"/>
              </w:rPr>
              <w:t>媒介及期限</w:t>
            </w:r>
          </w:p>
        </w:tc>
        <w:tc>
          <w:tcPr>
            <w:tcW w:w="3492" w:type="pct"/>
            <w:vAlign w:val="center"/>
          </w:tcPr>
          <w:p w14:paraId="3F8667BF">
            <w:pPr>
              <w:adjustRightInd w:val="0"/>
              <w:snapToGrid w:val="0"/>
              <w:spacing w:line="340" w:lineRule="exact"/>
              <w:ind w:firstLine="210" w:firstLineChars="100"/>
              <w:rPr>
                <w:rFonts w:hint="eastAsia" w:ascii="宋体" w:hAnsi="宋体"/>
                <w:bCs/>
                <w:color w:val="000000" w:themeColor="text1"/>
                <w:szCs w:val="21"/>
                <w:highlight w:val="none"/>
              </w:rPr>
            </w:pPr>
            <w:r>
              <w:rPr>
                <w:rFonts w:hint="eastAsia" w:ascii="宋体" w:hAnsi="宋体"/>
                <w:bCs/>
                <w:color w:val="000000" w:themeColor="text1"/>
                <w:szCs w:val="21"/>
                <w:highlight w:val="none"/>
              </w:rPr>
              <w:t>公告媒介：中国招标投标公共服务平台、吉林省公共资源交易中心网（同步推送到吉林省公共资源交易公共服务平台）、吉林省交通运输厅网站、长春市交通运输局网站。</w:t>
            </w:r>
          </w:p>
          <w:p w14:paraId="2246F16A">
            <w:pPr>
              <w:adjustRightInd w:val="0"/>
              <w:snapToGrid w:val="0"/>
              <w:spacing w:line="340" w:lineRule="exact"/>
              <w:ind w:firstLine="210" w:firstLineChars="100"/>
              <w:rPr>
                <w:rFonts w:hint="eastAsia" w:ascii="宋体" w:hAnsi="宋体"/>
                <w:bCs/>
                <w:color w:val="000000" w:themeColor="text1"/>
                <w:szCs w:val="21"/>
                <w:highlight w:val="none"/>
              </w:rPr>
            </w:pPr>
            <w:r>
              <w:rPr>
                <w:rFonts w:hint="eastAsia" w:ascii="宋体" w:hAnsi="宋体"/>
                <w:bCs/>
                <w:color w:val="000000" w:themeColor="text1"/>
                <w:szCs w:val="21"/>
                <w:highlight w:val="none"/>
              </w:rPr>
              <w:t>公告期限：不少于3日</w:t>
            </w:r>
          </w:p>
          <w:p w14:paraId="65A0C7A7">
            <w:pPr>
              <w:spacing w:line="360" w:lineRule="exact"/>
              <w:ind w:firstLine="210" w:firstLineChars="100"/>
              <w:rPr>
                <w:rFonts w:hint="eastAsia" w:ascii="宋体" w:hAnsi="宋体"/>
                <w:szCs w:val="21"/>
                <w:highlight w:val="none"/>
              </w:rPr>
            </w:pPr>
            <w:r>
              <w:rPr>
                <w:rFonts w:hint="eastAsia" w:ascii="宋体" w:hAnsi="宋体"/>
                <w:bCs/>
                <w:color w:val="000000" w:themeColor="text1"/>
                <w:szCs w:val="21"/>
                <w:highlight w:val="none"/>
              </w:rPr>
              <w:t>公告的其他内容：/</w:t>
            </w:r>
          </w:p>
        </w:tc>
      </w:tr>
      <w:tr w14:paraId="3D11AA4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1945" w:hRule="atLeast"/>
          <w:jc w:val="center"/>
        </w:trPr>
        <w:tc>
          <w:tcPr>
            <w:tcW w:w="403" w:type="pct"/>
            <w:vAlign w:val="center"/>
          </w:tcPr>
          <w:p w14:paraId="5E33D816">
            <w:pPr>
              <w:spacing w:line="360" w:lineRule="exact"/>
              <w:jc w:val="center"/>
              <w:rPr>
                <w:rFonts w:hint="eastAsia" w:ascii="宋体" w:hAnsi="宋体"/>
                <w:color w:val="000000"/>
                <w:szCs w:val="21"/>
                <w:highlight w:val="none"/>
              </w:rPr>
            </w:pPr>
            <w:r>
              <w:rPr>
                <w:rFonts w:hint="eastAsia" w:ascii="宋体" w:hAnsi="宋体"/>
                <w:bCs/>
                <w:color w:val="000000" w:themeColor="text1"/>
                <w:szCs w:val="21"/>
                <w:highlight w:val="none"/>
              </w:rPr>
              <w:t>7.7.1</w:t>
            </w:r>
          </w:p>
        </w:tc>
        <w:tc>
          <w:tcPr>
            <w:tcW w:w="1105" w:type="pct"/>
            <w:vAlign w:val="center"/>
          </w:tcPr>
          <w:p w14:paraId="05F599CA">
            <w:pPr>
              <w:spacing w:line="360" w:lineRule="exact"/>
              <w:jc w:val="center"/>
              <w:rPr>
                <w:rFonts w:hint="eastAsia" w:ascii="宋体" w:hAnsi="宋体"/>
                <w:color w:val="000000"/>
                <w:szCs w:val="21"/>
                <w:highlight w:val="none"/>
              </w:rPr>
            </w:pPr>
            <w:r>
              <w:rPr>
                <w:rFonts w:hint="eastAsia" w:ascii="宋体" w:hAnsi="宋体"/>
                <w:bCs/>
                <w:color w:val="000000" w:themeColor="text1"/>
                <w:szCs w:val="21"/>
                <w:highlight w:val="none"/>
              </w:rPr>
              <w:t>履约保证金</w:t>
            </w:r>
          </w:p>
        </w:tc>
        <w:tc>
          <w:tcPr>
            <w:tcW w:w="3492" w:type="pct"/>
            <w:vAlign w:val="center"/>
          </w:tcPr>
          <w:p w14:paraId="37C94D81">
            <w:pPr>
              <w:adjustRightInd w:val="0"/>
              <w:snapToGrid w:val="0"/>
              <w:spacing w:line="340" w:lineRule="exact"/>
              <w:rPr>
                <w:rFonts w:hint="eastAsia" w:ascii="宋体" w:hAnsi="宋体"/>
                <w:szCs w:val="21"/>
                <w:highlight w:val="none"/>
              </w:rPr>
            </w:pPr>
            <w:r>
              <w:rPr>
                <w:rFonts w:hint="eastAsia" w:ascii="宋体" w:hAnsi="宋体"/>
                <w:szCs w:val="21"/>
                <w:highlight w:val="none"/>
              </w:rPr>
              <w:t>履约保证金的形式：现金、支票、银行保函、担保机构保函或招标人认可的其他形式。</w:t>
            </w:r>
          </w:p>
          <w:p w14:paraId="40AF1844">
            <w:pPr>
              <w:spacing w:line="360" w:lineRule="exact"/>
              <w:ind w:right="113"/>
              <w:rPr>
                <w:rFonts w:hint="eastAsia" w:ascii="黑体" w:hAnsi="黑体" w:eastAsia="黑体"/>
                <w:szCs w:val="21"/>
                <w:highlight w:val="none"/>
                <w:u w:val="single"/>
              </w:rPr>
            </w:pPr>
            <w:r>
              <w:rPr>
                <w:rFonts w:hint="eastAsia" w:ascii="宋体" w:hAnsi="宋体"/>
                <w:szCs w:val="21"/>
                <w:highlight w:val="none"/>
              </w:rPr>
              <w:t>履约保证金的金额：</w:t>
            </w:r>
            <w:r>
              <w:rPr>
                <w:rFonts w:hint="eastAsia" w:ascii="黑体" w:hAnsi="黑体" w:eastAsia="黑体"/>
                <w:szCs w:val="21"/>
                <w:highlight w:val="none"/>
              </w:rPr>
              <w:t>10</w:t>
            </w:r>
            <w:r>
              <w:rPr>
                <w:rFonts w:hint="eastAsia" w:ascii="黑体" w:hAnsi="黑体" w:eastAsia="黑体"/>
                <w:color w:val="000000"/>
                <w:szCs w:val="21"/>
                <w:highlight w:val="none"/>
              </w:rPr>
              <w:t>％</w:t>
            </w:r>
            <w:r>
              <w:rPr>
                <w:rFonts w:hint="eastAsia" w:ascii="黑体" w:hAnsi="黑体" w:eastAsia="黑体"/>
                <w:szCs w:val="21"/>
                <w:highlight w:val="none"/>
              </w:rPr>
              <w:t>签约合同价</w:t>
            </w:r>
          </w:p>
          <w:p w14:paraId="180CC5EC">
            <w:pPr>
              <w:spacing w:line="360" w:lineRule="exact"/>
              <w:ind w:right="113" w:firstLine="420" w:firstLineChars="200"/>
              <w:rPr>
                <w:rFonts w:hint="eastAsia" w:ascii="宋体" w:hAnsi="宋体"/>
                <w:color w:val="000000"/>
                <w:szCs w:val="21"/>
                <w:highlight w:val="none"/>
              </w:rPr>
            </w:pPr>
            <w:r>
              <w:rPr>
                <w:rFonts w:hint="eastAsia" w:ascii="宋体" w:hAnsi="宋体"/>
                <w:szCs w:val="21"/>
                <w:highlight w:val="none"/>
              </w:rPr>
              <w:t>注：采用现金或支票形式时，应由中标人的基本账户转入发包人指定账户。</w:t>
            </w:r>
          </w:p>
        </w:tc>
      </w:tr>
      <w:tr w14:paraId="4637B3C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03" w:type="pct"/>
            <w:vAlign w:val="center"/>
          </w:tcPr>
          <w:p w14:paraId="69BF3552">
            <w:pPr>
              <w:spacing w:line="360" w:lineRule="exact"/>
              <w:jc w:val="center"/>
              <w:rPr>
                <w:rFonts w:hint="eastAsia" w:ascii="宋体" w:hAnsi="宋体"/>
                <w:szCs w:val="21"/>
                <w:highlight w:val="none"/>
              </w:rPr>
            </w:pPr>
            <w:r>
              <w:rPr>
                <w:rFonts w:hint="eastAsia" w:ascii="宋体" w:hAnsi="宋体"/>
                <w:szCs w:val="21"/>
                <w:highlight w:val="none"/>
              </w:rPr>
              <w:t>9.5</w:t>
            </w:r>
          </w:p>
        </w:tc>
        <w:tc>
          <w:tcPr>
            <w:tcW w:w="1105" w:type="pct"/>
            <w:vAlign w:val="center"/>
          </w:tcPr>
          <w:p w14:paraId="676D7376">
            <w:pPr>
              <w:spacing w:line="360" w:lineRule="exact"/>
              <w:jc w:val="center"/>
              <w:rPr>
                <w:rFonts w:hint="eastAsia" w:ascii="宋体" w:hAnsi="宋体"/>
                <w:szCs w:val="21"/>
                <w:highlight w:val="none"/>
              </w:rPr>
            </w:pPr>
            <w:r>
              <w:rPr>
                <w:rFonts w:hint="eastAsia" w:ascii="宋体" w:hAnsi="宋体"/>
                <w:szCs w:val="21"/>
                <w:highlight w:val="none"/>
              </w:rPr>
              <w:t>监督部门</w:t>
            </w:r>
          </w:p>
        </w:tc>
        <w:tc>
          <w:tcPr>
            <w:tcW w:w="3492" w:type="pct"/>
            <w:vAlign w:val="center"/>
          </w:tcPr>
          <w:p w14:paraId="6CF36C8D">
            <w:pPr>
              <w:spacing w:line="360" w:lineRule="exact"/>
              <w:rPr>
                <w:rFonts w:hint="eastAsia" w:ascii="黑体" w:hAnsi="黑体" w:eastAsia="黑体"/>
                <w:szCs w:val="21"/>
                <w:highlight w:val="none"/>
              </w:rPr>
            </w:pPr>
            <w:r>
              <w:rPr>
                <w:rFonts w:ascii="黑体" w:hAnsi="黑体" w:eastAsia="黑体"/>
                <w:szCs w:val="21"/>
                <w:highlight w:val="none"/>
              </w:rPr>
              <w:t>监督部门：</w:t>
            </w:r>
            <w:r>
              <w:rPr>
                <w:rFonts w:hint="eastAsia" w:ascii="黑体" w:hAnsi="黑体" w:eastAsia="黑体"/>
                <w:szCs w:val="21"/>
                <w:highlight w:val="none"/>
              </w:rPr>
              <w:t>长春市交通运输局</w:t>
            </w:r>
          </w:p>
          <w:p w14:paraId="519852A2">
            <w:pPr>
              <w:autoSpaceDE w:val="0"/>
              <w:autoSpaceDN w:val="0"/>
              <w:adjustRightInd w:val="0"/>
              <w:spacing w:line="360" w:lineRule="exact"/>
              <w:rPr>
                <w:rFonts w:hint="eastAsia" w:ascii="宋体" w:hAnsi="宋体"/>
                <w:szCs w:val="21"/>
                <w:highlight w:val="none"/>
              </w:rPr>
            </w:pPr>
            <w:r>
              <w:rPr>
                <w:rFonts w:hint="eastAsia" w:ascii="宋体" w:hAnsi="宋体"/>
                <w:szCs w:val="21"/>
                <w:highlight w:val="none"/>
              </w:rPr>
              <w:t>地　　址：长春市民康路555号</w:t>
            </w:r>
          </w:p>
          <w:p w14:paraId="5BA702F7">
            <w:pPr>
              <w:autoSpaceDE w:val="0"/>
              <w:autoSpaceDN w:val="0"/>
              <w:adjustRightInd w:val="0"/>
              <w:spacing w:line="360" w:lineRule="exact"/>
              <w:rPr>
                <w:rFonts w:hint="eastAsia" w:ascii="宋体" w:hAnsi="宋体"/>
                <w:szCs w:val="21"/>
                <w:highlight w:val="none"/>
              </w:rPr>
            </w:pPr>
            <w:r>
              <w:rPr>
                <w:rFonts w:hint="eastAsia" w:ascii="宋体" w:hAnsi="宋体"/>
                <w:szCs w:val="21"/>
                <w:highlight w:val="none"/>
              </w:rPr>
              <w:t>电    话：0431- 88973671</w:t>
            </w:r>
          </w:p>
          <w:p w14:paraId="3129B013">
            <w:pPr>
              <w:autoSpaceDE w:val="0"/>
              <w:autoSpaceDN w:val="0"/>
              <w:adjustRightInd w:val="0"/>
              <w:spacing w:line="360" w:lineRule="exact"/>
              <w:rPr>
                <w:rFonts w:hint="eastAsia" w:ascii="宋体" w:hAnsi="宋体"/>
                <w:szCs w:val="21"/>
                <w:highlight w:val="none"/>
              </w:rPr>
            </w:pPr>
            <w:r>
              <w:rPr>
                <w:rFonts w:hint="eastAsia" w:ascii="宋体" w:hAnsi="宋体"/>
                <w:szCs w:val="21"/>
                <w:highlight w:val="none"/>
              </w:rPr>
              <w:t>传    真：0431- 88973671</w:t>
            </w:r>
          </w:p>
          <w:p w14:paraId="70429AC0">
            <w:pPr>
              <w:spacing w:line="360" w:lineRule="exact"/>
              <w:jc w:val="left"/>
              <w:rPr>
                <w:rFonts w:hint="eastAsia" w:ascii="宋体" w:hAnsi="宋体"/>
                <w:szCs w:val="21"/>
                <w:highlight w:val="none"/>
              </w:rPr>
            </w:pPr>
            <w:r>
              <w:rPr>
                <w:rFonts w:hint="eastAsia" w:ascii="宋体" w:hAnsi="宋体"/>
                <w:szCs w:val="21"/>
                <w:highlight w:val="none"/>
              </w:rPr>
              <w:t>邮　　编：1300</w:t>
            </w:r>
            <w:r>
              <w:rPr>
                <w:rFonts w:ascii="宋体" w:hAnsi="宋体"/>
                <w:szCs w:val="21"/>
                <w:highlight w:val="none"/>
              </w:rPr>
              <w:t>00</w:t>
            </w:r>
          </w:p>
        </w:tc>
      </w:tr>
      <w:tr w14:paraId="7E0AD57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5000" w:type="pct"/>
            <w:gridSpan w:val="3"/>
            <w:vAlign w:val="center"/>
          </w:tcPr>
          <w:p w14:paraId="61F7E4A1">
            <w:pPr>
              <w:adjustRightInd w:val="0"/>
              <w:snapToGrid w:val="0"/>
              <w:spacing w:line="360" w:lineRule="exact"/>
              <w:rPr>
                <w:rFonts w:hint="eastAsia" w:ascii="宋体" w:hAnsi="宋体"/>
                <w:szCs w:val="21"/>
                <w:highlight w:val="none"/>
              </w:rPr>
            </w:pPr>
            <w:r>
              <w:rPr>
                <w:rFonts w:hint="eastAsia" w:ascii="宋体" w:hAnsi="宋体"/>
                <w:szCs w:val="21"/>
                <w:highlight w:val="none"/>
              </w:rPr>
              <w:t>需要补充的其他内容</w:t>
            </w:r>
          </w:p>
        </w:tc>
      </w:tr>
      <w:tr w14:paraId="20EC2B1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57" w:type="dxa"/>
            <w:bottom w:w="0" w:type="dxa"/>
            <w:right w:w="57" w:type="dxa"/>
          </w:tblCellMar>
        </w:tblPrEx>
        <w:trPr>
          <w:trHeight w:val="3499" w:hRule="atLeast"/>
          <w:jc w:val="center"/>
        </w:trPr>
        <w:tc>
          <w:tcPr>
            <w:tcW w:w="5000" w:type="pct"/>
            <w:gridSpan w:val="3"/>
            <w:vAlign w:val="center"/>
          </w:tcPr>
          <w:p w14:paraId="6694EA21">
            <w:pPr>
              <w:shd w:val="clear" w:color="auto" w:fill="FFFFFF"/>
              <w:adjustRightInd w:val="0"/>
              <w:spacing w:after="120" w:afterLines="50" w:line="320" w:lineRule="exact"/>
              <w:ind w:firstLine="420"/>
              <w:rPr>
                <w:rFonts w:hint="eastAsia" w:ascii="黑体" w:hAnsi="黑体" w:eastAsia="黑体"/>
                <w:szCs w:val="21"/>
                <w:highlight w:val="none"/>
              </w:rPr>
            </w:pPr>
            <w:bookmarkStart w:id="22" w:name="OLE_LINK112"/>
            <w:r>
              <w:rPr>
                <w:rFonts w:hint="eastAsia" w:ascii="黑体" w:hAnsi="黑体" w:eastAsia="黑体"/>
                <w:szCs w:val="21"/>
                <w:highlight w:val="none"/>
              </w:rPr>
              <w:t>10.</w:t>
            </w:r>
            <w:bookmarkStart w:id="23" w:name="OLE_LINK84"/>
            <w:r>
              <w:rPr>
                <w:rFonts w:hint="eastAsia" w:ascii="黑体" w:hAnsi="黑体" w:eastAsia="黑体"/>
                <w:szCs w:val="21"/>
                <w:highlight w:val="none"/>
              </w:rPr>
              <w:t>1 “双盲”评审：</w:t>
            </w:r>
            <w:r>
              <w:rPr>
                <w:rFonts w:ascii="黑体" w:hAnsi="黑体" w:eastAsia="黑体"/>
                <w:szCs w:val="21"/>
                <w:highlight w:val="none"/>
              </w:rPr>
              <w:t>本项目采用“双盲”评审，即评标专家“盲抽”和“盲评”，投标文件的施工组织设计采用“暗标”形式，投标人应严格按照“第</w:t>
            </w:r>
            <w:r>
              <w:rPr>
                <w:rFonts w:hint="eastAsia" w:ascii="黑体" w:hAnsi="黑体" w:eastAsia="黑体"/>
                <w:szCs w:val="21"/>
                <w:highlight w:val="none"/>
              </w:rPr>
              <w:t>八</w:t>
            </w:r>
            <w:r>
              <w:rPr>
                <w:rFonts w:ascii="黑体" w:hAnsi="黑体" w:eastAsia="黑体"/>
                <w:szCs w:val="21"/>
                <w:highlight w:val="none"/>
              </w:rPr>
              <w:t>章投标文件格式”中的要求编制施工组织设计。如果施工组织设计出现能识别投标人的内容，经评标委员会确定后，</w:t>
            </w:r>
            <w:bookmarkEnd w:id="22"/>
            <w:r>
              <w:rPr>
                <w:rFonts w:ascii="黑体" w:hAnsi="黑体" w:eastAsia="黑体"/>
                <w:szCs w:val="21"/>
                <w:highlight w:val="none"/>
              </w:rPr>
              <w:t>评标委员会应一致将其施工组织设计评为0分</w:t>
            </w:r>
            <w:r>
              <w:rPr>
                <w:rFonts w:hint="eastAsia" w:ascii="黑体" w:hAnsi="黑体" w:eastAsia="黑体"/>
                <w:szCs w:val="21"/>
                <w:highlight w:val="none"/>
              </w:rPr>
              <w:t>。</w:t>
            </w:r>
          </w:p>
          <w:p w14:paraId="79E6E8CC">
            <w:pPr>
              <w:shd w:val="clear" w:color="auto" w:fill="FFFFFF"/>
              <w:adjustRightInd w:val="0"/>
              <w:spacing w:after="120" w:afterLines="50" w:line="320" w:lineRule="exact"/>
              <w:ind w:firstLine="420"/>
              <w:rPr>
                <w:rFonts w:hint="eastAsia" w:ascii="宋体" w:hAnsi="宋体" w:cs="宋体"/>
                <w:color w:val="363D45"/>
                <w:kern w:val="0"/>
                <w:szCs w:val="21"/>
                <w:highlight w:val="none"/>
              </w:rPr>
            </w:pPr>
            <w:r>
              <w:rPr>
                <w:rFonts w:hint="eastAsia" w:ascii="黑体" w:hAnsi="黑体" w:eastAsia="黑体"/>
                <w:kern w:val="0"/>
                <w:sz w:val="20"/>
                <w:szCs w:val="21"/>
                <w:highlight w:val="none"/>
              </w:rPr>
              <w:t>10.2一体化平台：</w:t>
            </w:r>
            <w:bookmarkStart w:id="24" w:name="OLE_LINK85"/>
            <w:r>
              <w:rPr>
                <w:rFonts w:hint="eastAsia" w:ascii="宋体" w:hAnsi="宋体" w:cs="宋体"/>
                <w:color w:val="363D45"/>
                <w:szCs w:val="21"/>
                <w:highlight w:val="none"/>
              </w:rPr>
              <w:fldChar w:fldCharType="begin"/>
            </w:r>
            <w:r>
              <w:rPr>
                <w:rFonts w:hint="eastAsia" w:ascii="宋体" w:hAnsi="宋体" w:cs="宋体"/>
                <w:color w:val="363D45"/>
                <w:szCs w:val="21"/>
                <w:highlight w:val="none"/>
              </w:rPr>
              <w:instrText xml:space="preserve"> = 1 \* GB3 </w:instrText>
            </w:r>
            <w:r>
              <w:rPr>
                <w:rFonts w:hint="eastAsia" w:ascii="宋体" w:hAnsi="宋体" w:cs="宋体"/>
                <w:color w:val="363D45"/>
                <w:szCs w:val="21"/>
                <w:highlight w:val="none"/>
              </w:rPr>
              <w:fldChar w:fldCharType="separate"/>
            </w:r>
            <w:r>
              <w:rPr>
                <w:rFonts w:hint="eastAsia" w:ascii="宋体" w:hAnsi="宋体" w:cs="宋体"/>
                <w:color w:val="363D45"/>
                <w:szCs w:val="21"/>
                <w:highlight w:val="none"/>
              </w:rPr>
              <w:t>①</w:t>
            </w:r>
            <w:r>
              <w:rPr>
                <w:rFonts w:hint="eastAsia" w:ascii="宋体" w:hAnsi="宋体" w:cs="宋体"/>
                <w:color w:val="363D45"/>
                <w:szCs w:val="21"/>
                <w:highlight w:val="none"/>
              </w:rPr>
              <w:fldChar w:fldCharType="end"/>
            </w:r>
            <w:bookmarkEnd w:id="24"/>
            <w:r>
              <w:rPr>
                <w:rFonts w:hint="eastAsia" w:ascii="宋体" w:hAnsi="宋体" w:cs="宋体"/>
                <w:color w:val="363D45"/>
                <w:szCs w:val="21"/>
                <w:highlight w:val="none"/>
              </w:rPr>
              <w:t>本次招投标使用公共资源交易一体化平台系统，具体要求详见《关于做好全省公共资源交易一体化平台全面运行工作的通知》（吉政数联〔2022〕5号）文件。</w:t>
            </w:r>
          </w:p>
          <w:p w14:paraId="2A7DE122">
            <w:pPr>
              <w:shd w:val="clear" w:color="auto" w:fill="FFFFFF"/>
              <w:adjustRightInd w:val="0"/>
              <w:spacing w:after="120" w:afterLines="50" w:line="320" w:lineRule="exact"/>
              <w:ind w:firstLine="420"/>
              <w:rPr>
                <w:rFonts w:hint="eastAsia" w:ascii="宋体" w:hAnsi="宋体" w:cs="宋体"/>
                <w:color w:val="363D45"/>
                <w:szCs w:val="21"/>
                <w:highlight w:val="none"/>
              </w:rPr>
            </w:pPr>
            <w:bookmarkStart w:id="25" w:name="OLE_LINK87"/>
            <w:r>
              <w:rPr>
                <w:rFonts w:hint="eastAsia" w:ascii="宋体" w:hAnsi="宋体" w:cs="宋体"/>
                <w:color w:val="363D45"/>
                <w:szCs w:val="21"/>
                <w:highlight w:val="none"/>
              </w:rPr>
              <w:fldChar w:fldCharType="begin"/>
            </w:r>
            <w:r>
              <w:rPr>
                <w:rFonts w:hint="eastAsia" w:ascii="宋体" w:hAnsi="宋体" w:cs="宋体"/>
                <w:color w:val="363D45"/>
                <w:szCs w:val="21"/>
                <w:highlight w:val="none"/>
              </w:rPr>
              <w:instrText xml:space="preserve"> = 2 \* GB3 </w:instrText>
            </w:r>
            <w:r>
              <w:rPr>
                <w:rFonts w:hint="eastAsia" w:ascii="宋体" w:hAnsi="宋体" w:cs="宋体"/>
                <w:color w:val="363D45"/>
                <w:szCs w:val="21"/>
                <w:highlight w:val="none"/>
              </w:rPr>
              <w:fldChar w:fldCharType="separate"/>
            </w:r>
            <w:r>
              <w:rPr>
                <w:rFonts w:hint="eastAsia" w:ascii="宋体" w:hAnsi="宋体" w:cs="宋体"/>
                <w:color w:val="363D45"/>
                <w:szCs w:val="21"/>
                <w:highlight w:val="none"/>
              </w:rPr>
              <w:t>②</w:t>
            </w:r>
            <w:r>
              <w:rPr>
                <w:rFonts w:hint="eastAsia" w:ascii="宋体" w:hAnsi="宋体" w:cs="宋体"/>
                <w:color w:val="363D45"/>
                <w:szCs w:val="21"/>
                <w:highlight w:val="none"/>
              </w:rPr>
              <w:fldChar w:fldCharType="end"/>
            </w:r>
            <w:bookmarkEnd w:id="25"/>
            <w:r>
              <w:rPr>
                <w:rFonts w:hint="eastAsia" w:ascii="宋体" w:hAnsi="宋体" w:cs="宋体"/>
                <w:color w:val="363D45"/>
                <w:szCs w:val="21"/>
                <w:highlight w:val="none"/>
              </w:rPr>
              <w:t>招投标交易主体及有关方面登录公共资源交易公共服务平台（https://www.ggzyyth.jl.cn/EpointSSO/memberLogin）完善主体信息后，再登录一体化平台系统（https://www.ggzyyth.jl.cn/TPBidder）开展交易活动。</w:t>
            </w:r>
          </w:p>
          <w:p w14:paraId="3A32951E">
            <w:pPr>
              <w:shd w:val="clear" w:color="auto" w:fill="FFFFFF"/>
              <w:adjustRightInd w:val="0"/>
              <w:spacing w:after="120" w:afterLines="50" w:line="320" w:lineRule="exact"/>
              <w:ind w:firstLine="420"/>
              <w:rPr>
                <w:rFonts w:hint="eastAsia" w:ascii="宋体" w:hAnsi="宋体"/>
                <w:szCs w:val="21"/>
                <w:highlight w:val="none"/>
              </w:rPr>
            </w:pPr>
            <w:bookmarkStart w:id="26" w:name="OLE_LINK88"/>
            <w:r>
              <w:rPr>
                <w:rFonts w:hint="eastAsia" w:ascii="宋体" w:hAnsi="宋体" w:cs="宋体"/>
                <w:color w:val="363D45"/>
                <w:szCs w:val="21"/>
                <w:highlight w:val="none"/>
              </w:rPr>
              <w:fldChar w:fldCharType="begin"/>
            </w:r>
            <w:r>
              <w:rPr>
                <w:rFonts w:hint="eastAsia" w:ascii="宋体" w:hAnsi="宋体" w:cs="宋体"/>
                <w:color w:val="363D45"/>
                <w:szCs w:val="21"/>
                <w:highlight w:val="none"/>
              </w:rPr>
              <w:instrText xml:space="preserve"> = 3 \* GB3 </w:instrText>
            </w:r>
            <w:r>
              <w:rPr>
                <w:rFonts w:hint="eastAsia" w:ascii="宋体" w:hAnsi="宋体" w:cs="宋体"/>
                <w:color w:val="363D45"/>
                <w:szCs w:val="21"/>
                <w:highlight w:val="none"/>
              </w:rPr>
              <w:fldChar w:fldCharType="separate"/>
            </w:r>
            <w:r>
              <w:rPr>
                <w:rFonts w:hint="eastAsia" w:ascii="宋体" w:hAnsi="宋体" w:cs="宋体"/>
                <w:color w:val="363D45"/>
                <w:szCs w:val="21"/>
                <w:highlight w:val="none"/>
              </w:rPr>
              <w:t>③</w:t>
            </w:r>
            <w:r>
              <w:rPr>
                <w:rFonts w:hint="eastAsia" w:ascii="宋体" w:hAnsi="宋体" w:cs="宋体"/>
                <w:color w:val="363D45"/>
                <w:szCs w:val="21"/>
                <w:highlight w:val="none"/>
              </w:rPr>
              <w:fldChar w:fldCharType="end"/>
            </w:r>
            <w:bookmarkEnd w:id="26"/>
            <w:r>
              <w:rPr>
                <w:rFonts w:hint="eastAsia" w:ascii="宋体" w:hAnsi="宋体"/>
                <w:szCs w:val="21"/>
                <w:highlight w:val="none"/>
              </w:rPr>
              <w:t>一体化平台实现数字证书（CA锁，含电子签章）全省互用。已办理过CA锁的交易主体，CA锁未到期限的，在办理一体化平台业务时，无需重新办理，只需在一体化平台上进行绑定激活，即可使用。拟新办CA锁的交易主体，可在任一平台及场所办理一体化平台数字证书CA锁。一体化平台技术咨询服务电话：</w:t>
            </w:r>
            <w:bookmarkStart w:id="27" w:name="OLE_LINK3"/>
            <w:r>
              <w:rPr>
                <w:rFonts w:hint="eastAsia" w:ascii="宋体" w:hAnsi="宋体"/>
                <w:szCs w:val="21"/>
                <w:highlight w:val="none"/>
              </w:rPr>
              <w:t>0431-</w:t>
            </w:r>
            <w:bookmarkEnd w:id="23"/>
            <w:r>
              <w:rPr>
                <w:rFonts w:ascii="宋体" w:hAnsi="宋体"/>
                <w:szCs w:val="21"/>
                <w:highlight w:val="none"/>
              </w:rPr>
              <w:t>85177688</w:t>
            </w:r>
            <w:r>
              <w:rPr>
                <w:rFonts w:hint="eastAsia" w:ascii="宋体" w:hAnsi="宋体"/>
                <w:szCs w:val="21"/>
                <w:highlight w:val="none"/>
              </w:rPr>
              <w:t>。</w:t>
            </w:r>
            <w:bookmarkEnd w:id="27"/>
          </w:p>
          <w:p w14:paraId="418F697A">
            <w:pPr>
              <w:shd w:val="clear" w:color="auto" w:fill="FFFFFF"/>
              <w:adjustRightInd w:val="0"/>
              <w:spacing w:after="120" w:afterLines="50" w:line="320" w:lineRule="exact"/>
              <w:ind w:firstLine="420"/>
              <w:rPr>
                <w:rFonts w:hint="eastAsia" w:ascii="宋体" w:hAnsi="宋体"/>
                <w:szCs w:val="21"/>
                <w:highlight w:val="none"/>
              </w:rPr>
            </w:pPr>
            <w:r>
              <w:rPr>
                <w:rFonts w:hint="eastAsia" w:ascii="黑体" w:hAnsi="黑体" w:eastAsia="黑体"/>
                <w:kern w:val="0"/>
                <w:sz w:val="20"/>
                <w:szCs w:val="21"/>
                <w:highlight w:val="none"/>
              </w:rPr>
              <w:t>10.3变更修改和澄清等信息：</w:t>
            </w:r>
            <w:bookmarkStart w:id="28" w:name="_Hlk170804702"/>
            <w:r>
              <w:rPr>
                <w:rFonts w:hint="eastAsia" w:ascii="宋体" w:hAnsi="宋体"/>
                <w:szCs w:val="21"/>
                <w:highlight w:val="none"/>
              </w:rPr>
              <w:t>本项目的变更、招标文件修改和澄清等信息将在吉林省公共资源交易一体化平台（https://www.ggzyyth.jl.cn/TPBidder）上发布，</w:t>
            </w:r>
            <w:r>
              <w:rPr>
                <w:rFonts w:hint="eastAsia" w:ascii="黑体" w:hAnsi="黑体" w:eastAsia="黑体"/>
                <w:szCs w:val="21"/>
                <w:highlight w:val="none"/>
              </w:rPr>
              <w:t>请潜在投标人在参与本项目活动期间随时关注网站信息，否则出现一切后果由投标人自负</w:t>
            </w:r>
            <w:r>
              <w:rPr>
                <w:rFonts w:hint="eastAsia" w:ascii="宋体" w:hAnsi="宋体"/>
                <w:szCs w:val="21"/>
                <w:highlight w:val="none"/>
              </w:rPr>
              <w:t>。</w:t>
            </w:r>
            <w:bookmarkEnd w:id="28"/>
          </w:p>
          <w:p w14:paraId="35CE5566">
            <w:pPr>
              <w:adjustRightInd w:val="0"/>
              <w:snapToGrid w:val="0"/>
              <w:spacing w:after="120" w:afterLines="50" w:line="340" w:lineRule="exact"/>
              <w:ind w:firstLine="420"/>
              <w:rPr>
                <w:rFonts w:hint="eastAsia" w:ascii="宋体" w:hAnsi="宋体"/>
                <w:szCs w:val="21"/>
                <w:highlight w:val="none"/>
              </w:rPr>
            </w:pPr>
            <w:r>
              <w:rPr>
                <w:rFonts w:hint="eastAsia" w:ascii="黑体" w:hAnsi="黑体" w:eastAsia="黑体"/>
                <w:kern w:val="0"/>
                <w:sz w:val="20"/>
                <w:szCs w:val="21"/>
                <w:highlight w:val="none"/>
              </w:rPr>
              <w:t>10.4远程开标：</w:t>
            </w:r>
            <w:r>
              <w:rPr>
                <w:rFonts w:hint="eastAsia" w:ascii="宋体" w:hAnsi="宋体"/>
                <w:szCs w:val="21"/>
                <w:highlight w:val="none"/>
              </w:rPr>
              <w:t>本项目实施网上远程开标，投标人通过一体化平台系统进行远程投标文件解密。开标前，投标人应在准备解密的电脑端提前安装好CA驱动并且能正常登录系统。开标时在代理机构工作人员宣布可以解密后，由投标人选择对应的项目，进入“开标远程解密”菜单，点击远程解密并输入CA 密码，成功解密后状态会显示“已解密”。</w:t>
            </w:r>
            <w:r>
              <w:rPr>
                <w:rFonts w:hint="eastAsia" w:ascii="黑体" w:hAnsi="黑体" w:eastAsia="黑体"/>
                <w:szCs w:val="21"/>
                <w:highlight w:val="none"/>
              </w:rPr>
              <w:t>投标文件解密时需插上生成投标文件的CA 锁进行解密，且正确输入密码，投标人未在规定的时间内完成解密的视为无效投标。</w:t>
            </w:r>
            <w:r>
              <w:rPr>
                <w:rFonts w:hint="eastAsia" w:ascii="宋体" w:hAnsi="宋体"/>
                <w:szCs w:val="21"/>
                <w:highlight w:val="none"/>
              </w:rPr>
              <w:t>投标人由于数字证书遗失、损坏、更换、续期等自身原因情况导致投标文件无法解密，由投标人自行承担责任。</w:t>
            </w:r>
          </w:p>
          <w:p w14:paraId="47AEE8FF">
            <w:pPr>
              <w:adjustRightInd w:val="0"/>
              <w:snapToGrid w:val="0"/>
              <w:spacing w:after="120" w:afterLines="50" w:line="340" w:lineRule="exact"/>
              <w:ind w:firstLine="420"/>
              <w:rPr>
                <w:rFonts w:hint="eastAsia" w:ascii="宋体" w:hAnsi="宋体"/>
                <w:szCs w:val="21"/>
                <w:highlight w:val="none"/>
              </w:rPr>
            </w:pPr>
            <w:r>
              <w:rPr>
                <w:rFonts w:hint="eastAsia" w:ascii="黑体" w:hAnsi="黑体" w:eastAsia="黑体"/>
                <w:kern w:val="0"/>
                <w:sz w:val="20"/>
                <w:szCs w:val="21"/>
                <w:highlight w:val="none"/>
              </w:rPr>
              <w:t>10.5关键内容公开：</w:t>
            </w:r>
            <w:r>
              <w:rPr>
                <w:rFonts w:hint="eastAsia" w:ascii="宋体" w:hAnsi="宋体"/>
                <w:szCs w:val="21"/>
                <w:highlight w:val="none"/>
              </w:rPr>
              <w:t>本次招标文件</w:t>
            </w:r>
            <w:bookmarkStart w:id="29" w:name="OLE_LINK9"/>
            <w:r>
              <w:rPr>
                <w:rFonts w:hint="eastAsia" w:ascii="宋体" w:hAnsi="宋体"/>
                <w:szCs w:val="21"/>
                <w:highlight w:val="none"/>
              </w:rPr>
              <w:t>关键内容</w:t>
            </w:r>
            <w:bookmarkEnd w:id="29"/>
            <w:r>
              <w:rPr>
                <w:rFonts w:hint="eastAsia" w:ascii="宋体" w:hAnsi="宋体"/>
                <w:szCs w:val="21"/>
                <w:highlight w:val="none"/>
              </w:rPr>
              <w:t>在吉林省交通运输厅网站、长春市交通运输局网站上公开。</w:t>
            </w:r>
          </w:p>
          <w:p w14:paraId="1C2D484B">
            <w:pPr>
              <w:adjustRightInd w:val="0"/>
              <w:snapToGrid w:val="0"/>
              <w:spacing w:after="120" w:afterLines="50" w:line="360" w:lineRule="exact"/>
              <w:ind w:firstLine="400" w:firstLineChars="200"/>
              <w:rPr>
                <w:rFonts w:hint="eastAsia" w:ascii="宋体" w:hAnsi="宋体" w:cs="宋体"/>
                <w:kern w:val="0"/>
                <w:szCs w:val="21"/>
                <w:highlight w:val="none"/>
                <w:lang w:val="zh-CN"/>
              </w:rPr>
            </w:pPr>
            <w:r>
              <w:rPr>
                <w:rFonts w:hint="eastAsia" w:ascii="黑体" w:hAnsi="黑体" w:eastAsia="黑体"/>
                <w:kern w:val="0"/>
                <w:sz w:val="20"/>
                <w:szCs w:val="21"/>
                <w:highlight w:val="none"/>
              </w:rPr>
              <w:t>10.6词语定义：</w:t>
            </w:r>
            <w:r>
              <w:rPr>
                <w:rFonts w:hint="eastAsia" w:ascii="宋体" w:hAnsi="宋体" w:cs="宋体"/>
                <w:color w:val="363D45"/>
                <w:szCs w:val="21"/>
                <w:highlight w:val="none"/>
              </w:rPr>
              <w:fldChar w:fldCharType="begin"/>
            </w:r>
            <w:r>
              <w:rPr>
                <w:rFonts w:hint="eastAsia" w:ascii="宋体" w:hAnsi="宋体" w:cs="宋体"/>
                <w:color w:val="363D45"/>
                <w:szCs w:val="21"/>
                <w:highlight w:val="none"/>
              </w:rPr>
              <w:instrText xml:space="preserve"> = 1 \* GB3 </w:instrText>
            </w:r>
            <w:r>
              <w:rPr>
                <w:rFonts w:hint="eastAsia" w:ascii="宋体" w:hAnsi="宋体" w:cs="宋体"/>
                <w:color w:val="363D45"/>
                <w:szCs w:val="21"/>
                <w:highlight w:val="none"/>
              </w:rPr>
              <w:fldChar w:fldCharType="separate"/>
            </w:r>
            <w:r>
              <w:rPr>
                <w:rFonts w:hint="eastAsia" w:ascii="宋体" w:hAnsi="宋体" w:cs="宋体"/>
                <w:color w:val="363D45"/>
                <w:szCs w:val="21"/>
                <w:highlight w:val="none"/>
              </w:rPr>
              <w:t>①</w:t>
            </w:r>
            <w:r>
              <w:rPr>
                <w:rFonts w:hint="eastAsia" w:ascii="宋体" w:hAnsi="宋体" w:cs="宋体"/>
                <w:color w:val="363D45"/>
                <w:szCs w:val="21"/>
                <w:highlight w:val="none"/>
              </w:rPr>
              <w:fldChar w:fldCharType="end"/>
            </w:r>
            <w:r>
              <w:rPr>
                <w:rFonts w:hint="eastAsia" w:ascii="宋体" w:hAnsi="宋体"/>
                <w:szCs w:val="21"/>
                <w:highlight w:val="none"/>
              </w:rPr>
              <w:t>本文件中</w:t>
            </w:r>
            <w:r>
              <w:rPr>
                <w:rFonts w:hint="eastAsia" w:ascii="宋体" w:hAnsi="宋体" w:cs="宋体"/>
                <w:kern w:val="0"/>
                <w:szCs w:val="21"/>
                <w:highlight w:val="none"/>
                <w:lang w:val="zh-CN"/>
              </w:rPr>
              <w:t>所称的</w:t>
            </w:r>
            <w:r>
              <w:rPr>
                <w:rFonts w:hint="eastAsia" w:ascii="宋体" w:hAnsi="宋体"/>
                <w:szCs w:val="21"/>
                <w:highlight w:val="none"/>
              </w:rPr>
              <w:t>“以上”、“以下”、“以内”</w:t>
            </w:r>
            <w:r>
              <w:rPr>
                <w:rFonts w:hint="eastAsia" w:ascii="宋体" w:hAnsi="宋体" w:cs="宋体"/>
                <w:kern w:val="0"/>
                <w:szCs w:val="21"/>
                <w:highlight w:val="none"/>
                <w:lang w:val="zh-CN"/>
              </w:rPr>
              <w:t>，包括本数；所称的</w:t>
            </w:r>
            <w:r>
              <w:rPr>
                <w:rFonts w:hint="eastAsia" w:ascii="宋体" w:hAnsi="宋体"/>
                <w:szCs w:val="21"/>
                <w:highlight w:val="none"/>
              </w:rPr>
              <w:t>“以外”</w:t>
            </w:r>
            <w:r>
              <w:rPr>
                <w:rFonts w:hint="eastAsia" w:ascii="宋体" w:hAnsi="宋体" w:cs="宋体"/>
                <w:kern w:val="0"/>
                <w:szCs w:val="21"/>
                <w:highlight w:val="none"/>
                <w:lang w:val="zh-CN"/>
              </w:rPr>
              <w:t>，不包括本数。</w:t>
            </w:r>
            <w:r>
              <w:rPr>
                <w:rFonts w:hint="eastAsia" w:ascii="宋体" w:hAnsi="宋体" w:cs="宋体"/>
                <w:color w:val="363D45"/>
                <w:szCs w:val="21"/>
                <w:highlight w:val="none"/>
              </w:rPr>
              <w:fldChar w:fldCharType="begin"/>
            </w:r>
            <w:r>
              <w:rPr>
                <w:rFonts w:hint="eastAsia" w:ascii="宋体" w:hAnsi="宋体" w:cs="宋体"/>
                <w:color w:val="363D45"/>
                <w:szCs w:val="21"/>
                <w:highlight w:val="none"/>
              </w:rPr>
              <w:instrText xml:space="preserve"> = 2 \* GB3 </w:instrText>
            </w:r>
            <w:r>
              <w:rPr>
                <w:rFonts w:hint="eastAsia" w:ascii="宋体" w:hAnsi="宋体" w:cs="宋体"/>
                <w:color w:val="363D45"/>
                <w:szCs w:val="21"/>
                <w:highlight w:val="none"/>
              </w:rPr>
              <w:fldChar w:fldCharType="separate"/>
            </w:r>
            <w:r>
              <w:rPr>
                <w:rFonts w:hint="eastAsia" w:ascii="宋体" w:hAnsi="宋体" w:cs="宋体"/>
                <w:color w:val="363D45"/>
                <w:szCs w:val="21"/>
                <w:highlight w:val="none"/>
              </w:rPr>
              <w:t>②</w:t>
            </w:r>
            <w:r>
              <w:rPr>
                <w:rFonts w:hint="eastAsia" w:ascii="宋体" w:hAnsi="宋体" w:cs="宋体"/>
                <w:color w:val="363D45"/>
                <w:szCs w:val="21"/>
                <w:highlight w:val="none"/>
              </w:rPr>
              <w:fldChar w:fldCharType="end"/>
            </w:r>
            <w:r>
              <w:rPr>
                <w:rFonts w:hint="eastAsia" w:ascii="宋体" w:hAnsi="宋体"/>
                <w:szCs w:val="21"/>
                <w:highlight w:val="none"/>
              </w:rPr>
              <w:t>除有特殊说明外，本文件中</w:t>
            </w:r>
            <w:r>
              <w:rPr>
                <w:rFonts w:hint="eastAsia" w:ascii="宋体" w:hAnsi="宋体" w:cs="宋体"/>
                <w:kern w:val="0"/>
                <w:szCs w:val="21"/>
                <w:highlight w:val="none"/>
                <w:lang w:val="zh-CN"/>
              </w:rPr>
              <w:t>所称的“近3年”或“近5年”等，是指自投标截止时间所在年度起逆推3年或5年。如：投标截止时间所在年度为202</w:t>
            </w:r>
            <w:r>
              <w:rPr>
                <w:rFonts w:hint="eastAsia" w:ascii="宋体" w:hAnsi="宋体" w:cs="宋体"/>
                <w:kern w:val="0"/>
                <w:szCs w:val="21"/>
                <w:highlight w:val="none"/>
              </w:rPr>
              <w:t>6</w:t>
            </w:r>
            <w:r>
              <w:rPr>
                <w:rFonts w:hint="eastAsia" w:ascii="宋体" w:hAnsi="宋体" w:cs="宋体"/>
                <w:kern w:val="0"/>
                <w:szCs w:val="21"/>
                <w:highlight w:val="none"/>
                <w:lang w:val="zh-CN"/>
              </w:rPr>
              <w:t>年，“近</w:t>
            </w:r>
            <w:r>
              <w:rPr>
                <w:rFonts w:ascii="宋体" w:hAnsi="宋体" w:cs="宋体"/>
                <w:kern w:val="0"/>
                <w:szCs w:val="21"/>
                <w:highlight w:val="none"/>
              </w:rPr>
              <w:t>3</w:t>
            </w:r>
            <w:r>
              <w:rPr>
                <w:rFonts w:hint="eastAsia" w:ascii="宋体" w:hAnsi="宋体" w:cs="宋体"/>
                <w:kern w:val="0"/>
                <w:szCs w:val="21"/>
                <w:highlight w:val="none"/>
                <w:lang w:val="zh-CN"/>
              </w:rPr>
              <w:t>年”的年限从2023年1月1日算起</w:t>
            </w:r>
            <w:r>
              <w:rPr>
                <w:rFonts w:ascii="宋体" w:hAnsi="宋体" w:cs="宋体"/>
                <w:kern w:val="0"/>
                <w:szCs w:val="21"/>
                <w:highlight w:val="none"/>
              </w:rPr>
              <w:t>,</w:t>
            </w:r>
            <w:r>
              <w:rPr>
                <w:rFonts w:hint="eastAsia" w:ascii="宋体" w:hAnsi="宋体" w:cs="宋体"/>
                <w:kern w:val="0"/>
                <w:szCs w:val="21"/>
                <w:highlight w:val="none"/>
                <w:lang w:val="zh-CN"/>
              </w:rPr>
              <w:t>“近</w:t>
            </w:r>
            <w:r>
              <w:rPr>
                <w:rFonts w:ascii="宋体" w:hAnsi="宋体" w:cs="宋体"/>
                <w:kern w:val="0"/>
                <w:szCs w:val="21"/>
                <w:highlight w:val="none"/>
              </w:rPr>
              <w:t>5</w:t>
            </w:r>
            <w:r>
              <w:rPr>
                <w:rFonts w:hint="eastAsia" w:ascii="宋体" w:hAnsi="宋体" w:cs="宋体"/>
                <w:kern w:val="0"/>
                <w:szCs w:val="21"/>
                <w:highlight w:val="none"/>
                <w:lang w:val="zh-CN"/>
              </w:rPr>
              <w:t>年”的年限从2021年1月1日算起。</w:t>
            </w:r>
            <w:r>
              <w:rPr>
                <w:rFonts w:hint="eastAsia" w:ascii="宋体" w:hAnsi="宋体" w:cs="宋体"/>
                <w:color w:val="363D45"/>
                <w:szCs w:val="21"/>
                <w:highlight w:val="none"/>
              </w:rPr>
              <w:fldChar w:fldCharType="begin"/>
            </w:r>
            <w:r>
              <w:rPr>
                <w:rFonts w:hint="eastAsia" w:ascii="宋体" w:hAnsi="宋体" w:cs="宋体"/>
                <w:color w:val="363D45"/>
                <w:szCs w:val="21"/>
                <w:highlight w:val="none"/>
              </w:rPr>
              <w:instrText xml:space="preserve"> = 3 \* GB3 </w:instrText>
            </w:r>
            <w:r>
              <w:rPr>
                <w:rFonts w:hint="eastAsia" w:ascii="宋体" w:hAnsi="宋体" w:cs="宋体"/>
                <w:color w:val="363D45"/>
                <w:szCs w:val="21"/>
                <w:highlight w:val="none"/>
              </w:rPr>
              <w:fldChar w:fldCharType="separate"/>
            </w:r>
            <w:r>
              <w:rPr>
                <w:rFonts w:hint="eastAsia" w:ascii="宋体" w:hAnsi="宋体" w:cs="宋体"/>
                <w:color w:val="363D45"/>
                <w:szCs w:val="21"/>
                <w:highlight w:val="none"/>
              </w:rPr>
              <w:t>③</w:t>
            </w:r>
            <w:r>
              <w:rPr>
                <w:rFonts w:hint="eastAsia" w:ascii="宋体" w:hAnsi="宋体" w:cs="宋体"/>
                <w:color w:val="363D45"/>
                <w:szCs w:val="21"/>
                <w:highlight w:val="none"/>
              </w:rPr>
              <w:fldChar w:fldCharType="end"/>
            </w:r>
            <w:r>
              <w:rPr>
                <w:rFonts w:hint="eastAsia" w:ascii="宋体" w:hAnsi="宋体" w:cs="宋体"/>
                <w:kern w:val="0"/>
                <w:szCs w:val="21"/>
                <w:highlight w:val="none"/>
                <w:lang w:val="zh-CN"/>
              </w:rPr>
              <w:t xml:space="preserve"> “电子交易平台”指“吉林省公共资源交易一体化平台”。</w:t>
            </w:r>
          </w:p>
          <w:p w14:paraId="103B2DEE">
            <w:pPr>
              <w:adjustRightInd w:val="0"/>
              <w:snapToGrid w:val="0"/>
              <w:spacing w:after="120" w:afterLines="50" w:line="340" w:lineRule="exact"/>
              <w:ind w:firstLine="420"/>
              <w:rPr>
                <w:rFonts w:hint="eastAsia" w:ascii="宋体" w:hAnsi="宋体"/>
                <w:color w:val="000000"/>
                <w:szCs w:val="21"/>
                <w:highlight w:val="none"/>
              </w:rPr>
            </w:pPr>
            <w:r>
              <w:rPr>
                <w:rFonts w:hint="eastAsia" w:ascii="黑体" w:hAnsi="黑体" w:eastAsia="黑体"/>
                <w:kern w:val="0"/>
                <w:sz w:val="20"/>
                <w:szCs w:val="21"/>
                <w:highlight w:val="none"/>
              </w:rPr>
              <w:t>10.7中标人提供纸质投标文件：</w:t>
            </w:r>
            <w:r>
              <w:rPr>
                <w:rFonts w:hint="eastAsia" w:ascii="宋体" w:hAnsi="宋体"/>
                <w:color w:val="000000"/>
                <w:szCs w:val="21"/>
                <w:highlight w:val="none"/>
              </w:rPr>
              <w:t>如投标人中标，须再提供纸质投标文件正本一份，副本一份；中标人提供的纸质投标文件需与投标时提供的电子投标文件保持一致，如有不一致，以电子投标文件为准。</w:t>
            </w:r>
          </w:p>
          <w:p w14:paraId="495DBE48">
            <w:pPr>
              <w:autoSpaceDE w:val="0"/>
              <w:autoSpaceDN w:val="0"/>
              <w:adjustRightInd w:val="0"/>
              <w:snapToGrid w:val="0"/>
              <w:spacing w:after="120" w:afterLines="50" w:line="340" w:lineRule="exact"/>
              <w:ind w:firstLine="420"/>
              <w:jc w:val="left"/>
              <w:rPr>
                <w:rFonts w:hint="eastAsia" w:ascii="宋体" w:hAnsi="宋体"/>
                <w:color w:val="000000"/>
                <w:szCs w:val="21"/>
                <w:highlight w:val="none"/>
              </w:rPr>
            </w:pPr>
            <w:r>
              <w:rPr>
                <w:rFonts w:hint="eastAsia" w:ascii="宋体" w:hAnsi="宋体"/>
                <w:color w:val="000000"/>
                <w:szCs w:val="21"/>
                <w:highlight w:val="none"/>
              </w:rPr>
              <w:t>中标人递交的纸质投标文件应是电子投标文件的打印件，正本应按招标文件要求加盖投标人单位公章，纸质投标文件应标注页码，且不得采用活页夹装订。</w:t>
            </w:r>
          </w:p>
          <w:p w14:paraId="2C599A30">
            <w:pPr>
              <w:adjustRightInd w:val="0"/>
              <w:snapToGrid w:val="0"/>
              <w:spacing w:line="400" w:lineRule="exact"/>
              <w:ind w:firstLine="420"/>
              <w:rPr>
                <w:rFonts w:hint="eastAsia" w:ascii="宋体" w:hAnsi="宋体"/>
                <w:szCs w:val="21"/>
                <w:highlight w:val="none"/>
              </w:rPr>
            </w:pPr>
            <w:r>
              <w:rPr>
                <w:rFonts w:hint="eastAsia" w:ascii="黑体" w:hAnsi="黑体" w:eastAsia="黑体"/>
                <w:kern w:val="0"/>
                <w:sz w:val="20"/>
                <w:szCs w:val="21"/>
                <w:highlight w:val="none"/>
              </w:rPr>
              <w:t>10.8 招标代理服务费：</w:t>
            </w:r>
            <w:r>
              <w:rPr>
                <w:rFonts w:hint="eastAsia" w:ascii="宋体" w:hAnsi="宋体"/>
                <w:szCs w:val="21"/>
                <w:highlight w:val="none"/>
              </w:rPr>
              <w:t>参考原国家计委《招标代理服务收费管理暂行办法》（计价格〔2002〕1980号）、《国家发展改革委办公厅关于招标代理服务收费有关问题的通知》（发改办价格〔2003〕857号）、《国家发展改革委关于降低部分建设项目收费标准规范收费行为等有关问题的通知》（发改价格〔2011〕534号）规定的招标代理服务收费差额费率计算乘以0.5系数为本标段的招标代理服务费。</w:t>
            </w:r>
          </w:p>
          <w:p w14:paraId="047CE89A">
            <w:pPr>
              <w:adjustRightInd w:val="0"/>
              <w:snapToGrid w:val="0"/>
              <w:spacing w:line="400" w:lineRule="exact"/>
              <w:ind w:firstLine="420"/>
              <w:rPr>
                <w:rFonts w:hint="eastAsia" w:ascii="宋体" w:hAnsi="宋体"/>
                <w:szCs w:val="21"/>
                <w:highlight w:val="none"/>
              </w:rPr>
            </w:pPr>
            <w:r>
              <w:rPr>
                <w:rFonts w:hint="eastAsia" w:ascii="宋体" w:hAnsi="宋体"/>
                <w:szCs w:val="21"/>
                <w:highlight w:val="none"/>
              </w:rPr>
              <w:t>在签订合同前，中标人应将招标代理服务费以电汇形式递交至招标代理机构提供的以下账户：</w:t>
            </w:r>
          </w:p>
          <w:p w14:paraId="46F40229">
            <w:pPr>
              <w:adjustRightInd w:val="0"/>
              <w:snapToGrid w:val="0"/>
              <w:spacing w:line="400" w:lineRule="exact"/>
              <w:ind w:firstLine="420"/>
              <w:rPr>
                <w:rFonts w:hint="eastAsia" w:ascii="黑体" w:hAnsi="黑体" w:eastAsia="黑体"/>
                <w:szCs w:val="21"/>
                <w:highlight w:val="none"/>
              </w:rPr>
            </w:pPr>
            <w:r>
              <w:rPr>
                <w:rFonts w:hint="eastAsia" w:ascii="黑体" w:hAnsi="黑体" w:eastAsia="黑体"/>
                <w:szCs w:val="21"/>
                <w:highlight w:val="none"/>
              </w:rPr>
              <w:t xml:space="preserve">开户名称：吉林省伟邦公路技术有限公司 </w:t>
            </w:r>
          </w:p>
          <w:p w14:paraId="1A03AACD">
            <w:pPr>
              <w:adjustRightInd w:val="0"/>
              <w:snapToGrid w:val="0"/>
              <w:spacing w:line="400" w:lineRule="exact"/>
              <w:ind w:firstLine="420"/>
              <w:rPr>
                <w:rFonts w:hint="eastAsia" w:ascii="黑体" w:hAnsi="黑体" w:eastAsia="黑体"/>
                <w:szCs w:val="21"/>
                <w:highlight w:val="none"/>
              </w:rPr>
            </w:pPr>
            <w:r>
              <w:rPr>
                <w:rFonts w:hint="eastAsia" w:ascii="黑体" w:hAnsi="黑体" w:eastAsia="黑体"/>
                <w:szCs w:val="21"/>
                <w:highlight w:val="none"/>
              </w:rPr>
              <w:t xml:space="preserve">开户银行：建设银行九台支行 </w:t>
            </w:r>
          </w:p>
          <w:p w14:paraId="19BC2E07">
            <w:pPr>
              <w:spacing w:line="400" w:lineRule="exact"/>
              <w:ind w:firstLine="420"/>
              <w:contextualSpacing/>
              <w:rPr>
                <w:rFonts w:hint="eastAsia" w:ascii="黑体" w:hAnsi="黑体" w:eastAsia="黑体"/>
                <w:szCs w:val="21"/>
                <w:highlight w:val="none"/>
              </w:rPr>
            </w:pPr>
            <w:r>
              <w:rPr>
                <w:rFonts w:hint="eastAsia" w:ascii="黑体" w:hAnsi="黑体" w:eastAsia="黑体"/>
                <w:szCs w:val="21"/>
                <w:highlight w:val="none"/>
              </w:rPr>
              <w:t>银行账号：22001390100055001391</w:t>
            </w:r>
          </w:p>
          <w:p w14:paraId="71A9FA17">
            <w:pPr>
              <w:pStyle w:val="19"/>
              <w:spacing w:afterLines="50" w:line="400" w:lineRule="exact"/>
              <w:ind w:right="63" w:firstLine="420" w:firstLineChars="200"/>
              <w:jc w:val="left"/>
              <w:rPr>
                <w:rFonts w:hint="eastAsia" w:ascii="宋体" w:hAnsi="宋体"/>
                <w:szCs w:val="21"/>
                <w:highlight w:val="none"/>
              </w:rPr>
            </w:pPr>
            <w:r>
              <w:rPr>
                <w:rFonts w:hint="eastAsia" w:ascii="黑体" w:hAnsi="黑体" w:eastAsia="黑体"/>
                <w:szCs w:val="21"/>
                <w:highlight w:val="none"/>
              </w:rPr>
              <w:t>10.9</w:t>
            </w:r>
            <w:r>
              <w:rPr>
                <w:rFonts w:hint="eastAsia" w:ascii="黑体" w:hAnsi="黑体" w:eastAsia="黑体" w:cs="宋体"/>
                <w:szCs w:val="21"/>
                <w:highlight w:val="none"/>
              </w:rPr>
              <w:t>当</w:t>
            </w:r>
            <w:r>
              <w:rPr>
                <w:rFonts w:hint="eastAsia" w:ascii="黑体" w:hAnsi="黑体" w:eastAsia="黑体"/>
                <w:szCs w:val="21"/>
                <w:highlight w:val="none"/>
              </w:rPr>
              <w:t>通过初步评审的有效投标人不足3家时，由评标委员会确定现有投标人是否具有竞争性，决定是否继续评标</w:t>
            </w:r>
            <w:r>
              <w:rPr>
                <w:rFonts w:hint="eastAsia" w:ascii="宋体" w:hAnsi="宋体"/>
                <w:szCs w:val="21"/>
                <w:highlight w:val="none"/>
              </w:rPr>
              <w:t>。</w:t>
            </w:r>
          </w:p>
        </w:tc>
      </w:tr>
    </w:tbl>
    <w:p w14:paraId="35A16601">
      <w:pPr>
        <w:jc w:val="center"/>
        <w:rPr>
          <w:rFonts w:hint="eastAsia" w:ascii="隶书" w:hAnsi="宋体"/>
          <w:sz w:val="24"/>
          <w:highlight w:val="none"/>
        </w:rPr>
      </w:pPr>
    </w:p>
    <w:p w14:paraId="0BD2FA6D">
      <w:pPr>
        <w:jc w:val="center"/>
        <w:rPr>
          <w:rFonts w:hint="eastAsia" w:ascii="隶书" w:hAnsi="宋体"/>
          <w:sz w:val="24"/>
          <w:highlight w:val="none"/>
        </w:rPr>
      </w:pPr>
    </w:p>
    <w:p w14:paraId="48A9B419">
      <w:pPr>
        <w:jc w:val="center"/>
        <w:rPr>
          <w:rFonts w:hint="eastAsia" w:ascii="隶书" w:hAnsi="宋体"/>
          <w:sz w:val="24"/>
          <w:highlight w:val="none"/>
        </w:rPr>
      </w:pPr>
    </w:p>
    <w:p w14:paraId="58F41CB6">
      <w:pPr>
        <w:jc w:val="center"/>
        <w:rPr>
          <w:rFonts w:hint="eastAsia" w:ascii="隶书" w:hAnsi="宋体"/>
          <w:sz w:val="24"/>
          <w:highlight w:val="none"/>
        </w:rPr>
      </w:pPr>
    </w:p>
    <w:p w14:paraId="62EC6272">
      <w:pPr>
        <w:jc w:val="center"/>
        <w:rPr>
          <w:rFonts w:hint="eastAsia" w:ascii="隶书" w:hAnsi="宋体"/>
          <w:sz w:val="24"/>
          <w:highlight w:val="none"/>
        </w:rPr>
      </w:pPr>
    </w:p>
    <w:p w14:paraId="07FE3186">
      <w:pPr>
        <w:jc w:val="center"/>
        <w:rPr>
          <w:rFonts w:hint="eastAsia" w:ascii="隶书" w:hAnsi="宋体"/>
          <w:sz w:val="24"/>
          <w:highlight w:val="none"/>
        </w:rPr>
      </w:pPr>
    </w:p>
    <w:p w14:paraId="19B9D1D2">
      <w:pPr>
        <w:pStyle w:val="5"/>
        <w:spacing w:before="100" w:beforeAutospacing="1" w:after="100" w:afterAutospacing="1" w:line="240" w:lineRule="auto"/>
        <w:rPr>
          <w:rFonts w:hint="eastAsia" w:ascii="黑体" w:hAnsi="黑体"/>
          <w:b w:val="0"/>
          <w:bCs w:val="0"/>
          <w:sz w:val="24"/>
          <w:szCs w:val="24"/>
          <w:highlight w:val="none"/>
        </w:rPr>
      </w:pPr>
      <w:bookmarkStart w:id="30" w:name="_Toc258182506"/>
      <w:r>
        <w:rPr>
          <w:rFonts w:hint="eastAsia" w:ascii="黑体" w:hAnsi="黑体"/>
          <w:b w:val="0"/>
          <w:bCs w:val="0"/>
          <w:sz w:val="24"/>
          <w:szCs w:val="24"/>
          <w:highlight w:val="none"/>
          <w:lang w:val="en-US" w:eastAsia="zh-CN"/>
        </w:rPr>
        <w:t>10.</w:t>
      </w:r>
      <w:r>
        <w:rPr>
          <w:rFonts w:ascii="黑体" w:hAnsi="黑体"/>
          <w:b w:val="0"/>
          <w:bCs w:val="0"/>
          <w:sz w:val="24"/>
          <w:szCs w:val="24"/>
          <w:highlight w:val="none"/>
        </w:rPr>
        <w:t>评标办法前附表</w:t>
      </w:r>
    </w:p>
    <w:tbl>
      <w:tblPr>
        <w:tblStyle w:val="55"/>
        <w:tblW w:w="5000" w:type="pct"/>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autofit"/>
        <w:tblCellMar>
          <w:top w:w="0" w:type="dxa"/>
          <w:left w:w="0" w:type="dxa"/>
          <w:bottom w:w="0" w:type="dxa"/>
          <w:right w:w="0" w:type="dxa"/>
        </w:tblCellMar>
      </w:tblPr>
      <w:tblGrid>
        <w:gridCol w:w="895"/>
        <w:gridCol w:w="1005"/>
        <w:gridCol w:w="1623"/>
        <w:gridCol w:w="494"/>
        <w:gridCol w:w="5632"/>
      </w:tblGrid>
      <w:tr w14:paraId="2F0CC92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52" w:hRule="atLeast"/>
        </w:trPr>
        <w:tc>
          <w:tcPr>
            <w:tcW w:w="985" w:type="pct"/>
            <w:gridSpan w:val="2"/>
            <w:tcBorders>
              <w:top w:val="single" w:color="auto" w:sz="4" w:space="0"/>
              <w:left w:val="single" w:color="auto" w:sz="4" w:space="0"/>
              <w:bottom w:val="single" w:color="auto" w:sz="4" w:space="0"/>
              <w:right w:val="single" w:color="auto" w:sz="4" w:space="0"/>
            </w:tcBorders>
            <w:vAlign w:val="center"/>
          </w:tcPr>
          <w:p w14:paraId="08B3134D">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条款号</w:t>
            </w: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58F820AF">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评审因素</w:t>
            </w:r>
          </w:p>
        </w:tc>
        <w:tc>
          <w:tcPr>
            <w:tcW w:w="2918" w:type="pct"/>
            <w:tcBorders>
              <w:top w:val="single" w:color="auto" w:sz="4" w:space="0"/>
              <w:left w:val="single" w:color="auto" w:sz="4" w:space="0"/>
              <w:bottom w:val="single" w:color="auto" w:sz="4" w:space="0"/>
              <w:right w:val="single" w:color="auto" w:sz="4" w:space="0"/>
            </w:tcBorders>
            <w:vAlign w:val="center"/>
          </w:tcPr>
          <w:p w14:paraId="420AAFF3">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评审标准</w:t>
            </w:r>
          </w:p>
        </w:tc>
      </w:tr>
      <w:tr w14:paraId="759ABA1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702" w:hRule="atLeast"/>
        </w:trPr>
        <w:tc>
          <w:tcPr>
            <w:tcW w:w="464" w:type="pct"/>
            <w:tcBorders>
              <w:top w:val="single" w:color="auto" w:sz="4" w:space="0"/>
              <w:left w:val="single" w:color="auto" w:sz="4" w:space="0"/>
              <w:bottom w:val="single" w:color="auto" w:sz="4" w:space="0"/>
              <w:right w:val="single" w:color="auto" w:sz="4" w:space="0"/>
            </w:tcBorders>
            <w:vAlign w:val="center"/>
          </w:tcPr>
          <w:p w14:paraId="188EC3A1">
            <w:pPr>
              <w:spacing w:line="360" w:lineRule="exact"/>
              <w:jc w:val="center"/>
              <w:rPr>
                <w:rFonts w:hint="eastAsia" w:asciiTheme="minorEastAsia" w:hAnsiTheme="minorEastAsia" w:eastAsiaTheme="minorEastAsia"/>
                <w:color w:val="000000"/>
                <w:highlight w:val="none"/>
              </w:rPr>
            </w:pPr>
            <w:r>
              <w:rPr>
                <w:rFonts w:hint="eastAsia" w:asciiTheme="minorEastAsia" w:hAnsiTheme="minorEastAsia" w:eastAsiaTheme="minorEastAsia"/>
                <w:color w:val="000000"/>
                <w:highlight w:val="none"/>
              </w:rPr>
              <w:t>1</w:t>
            </w:r>
          </w:p>
        </w:tc>
        <w:tc>
          <w:tcPr>
            <w:tcW w:w="521" w:type="pct"/>
            <w:tcBorders>
              <w:top w:val="single" w:color="auto" w:sz="4" w:space="0"/>
              <w:left w:val="single" w:color="auto" w:sz="4" w:space="0"/>
              <w:bottom w:val="single" w:color="auto" w:sz="4" w:space="0"/>
              <w:right w:val="single" w:color="auto" w:sz="4" w:space="0"/>
            </w:tcBorders>
            <w:vAlign w:val="center"/>
          </w:tcPr>
          <w:p w14:paraId="37F3A9C4">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评标办法</w:t>
            </w: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19C49979">
            <w:pPr>
              <w:spacing w:line="360" w:lineRule="exact"/>
              <w:jc w:val="center"/>
              <w:rPr>
                <w:rFonts w:hint="eastAsia" w:asciiTheme="minorEastAsia" w:hAnsiTheme="minorEastAsia" w:eastAsiaTheme="minorEastAsia"/>
                <w:color w:val="000000"/>
                <w:highlight w:val="none"/>
              </w:rPr>
            </w:pPr>
            <w:r>
              <w:rPr>
                <w:rFonts w:hint="eastAsia" w:asciiTheme="minorEastAsia" w:hAnsiTheme="minorEastAsia" w:eastAsiaTheme="minorEastAsia"/>
                <w:color w:val="000000"/>
                <w:highlight w:val="none"/>
              </w:rPr>
              <w:t>中标候选人</w:t>
            </w:r>
          </w:p>
          <w:p w14:paraId="2640858F">
            <w:pPr>
              <w:spacing w:line="360" w:lineRule="exact"/>
              <w:jc w:val="center"/>
              <w:rPr>
                <w:rFonts w:hint="eastAsia" w:asciiTheme="minorEastAsia" w:hAnsiTheme="minorEastAsia" w:eastAsiaTheme="minorEastAsia"/>
                <w:color w:val="000000"/>
                <w:highlight w:val="none"/>
              </w:rPr>
            </w:pPr>
            <w:r>
              <w:rPr>
                <w:rFonts w:hint="eastAsia" w:asciiTheme="minorEastAsia" w:hAnsiTheme="minorEastAsia" w:eastAsiaTheme="minorEastAsia"/>
                <w:color w:val="000000"/>
                <w:highlight w:val="none"/>
              </w:rPr>
              <w:t>排序方法</w:t>
            </w:r>
          </w:p>
        </w:tc>
        <w:tc>
          <w:tcPr>
            <w:tcW w:w="2918" w:type="pct"/>
            <w:tcBorders>
              <w:top w:val="single" w:color="auto" w:sz="4" w:space="0"/>
              <w:left w:val="single" w:color="auto" w:sz="4" w:space="0"/>
              <w:bottom w:val="single" w:color="auto" w:sz="4" w:space="0"/>
              <w:right w:val="single" w:color="auto" w:sz="4" w:space="0"/>
            </w:tcBorders>
            <w:vAlign w:val="center"/>
          </w:tcPr>
          <w:p w14:paraId="1450872F">
            <w:pPr>
              <w:snapToGrid w:val="0"/>
              <w:spacing w:line="360" w:lineRule="exact"/>
              <w:rPr>
                <w:rFonts w:hint="eastAsia" w:asciiTheme="minorEastAsia" w:hAnsiTheme="minorEastAsia" w:eastAsiaTheme="minorEastAsia"/>
                <w:color w:val="000000"/>
                <w:szCs w:val="21"/>
                <w:highlight w:val="none"/>
              </w:rPr>
            </w:pPr>
            <w:r>
              <w:rPr>
                <w:rFonts w:hint="eastAsia" w:asciiTheme="minorEastAsia" w:hAnsiTheme="minorEastAsia" w:eastAsiaTheme="minorEastAsia"/>
                <w:color w:val="000000"/>
                <w:szCs w:val="21"/>
                <w:highlight w:val="none"/>
              </w:rPr>
              <w:t>本综合评分相等时，评标委员会依次按照以下优先顺序推荐中标候选人：</w:t>
            </w:r>
          </w:p>
          <w:p w14:paraId="705ECD72">
            <w:pPr>
              <w:snapToGrid w:val="0"/>
              <w:spacing w:line="360" w:lineRule="exact"/>
              <w:rPr>
                <w:rFonts w:hint="eastAsia" w:asciiTheme="minorEastAsia" w:hAnsiTheme="minorEastAsia" w:eastAsiaTheme="minorEastAsia"/>
                <w:color w:val="000000"/>
                <w:szCs w:val="21"/>
                <w:highlight w:val="none"/>
              </w:rPr>
            </w:pPr>
            <w:r>
              <w:rPr>
                <w:rFonts w:hint="eastAsia" w:asciiTheme="minorEastAsia" w:hAnsiTheme="minorEastAsia" w:eastAsiaTheme="minorEastAsia"/>
                <w:color w:val="000000"/>
                <w:szCs w:val="21"/>
                <w:highlight w:val="none"/>
              </w:rPr>
              <w:t>（1）投标报价低的投标人优先；</w:t>
            </w:r>
          </w:p>
          <w:p w14:paraId="7FFC712A">
            <w:pPr>
              <w:snapToGrid w:val="0"/>
              <w:spacing w:line="360" w:lineRule="exact"/>
              <w:rPr>
                <w:rFonts w:hint="eastAsia" w:ascii="宋体" w:hAnsi="宋体"/>
                <w:szCs w:val="21"/>
                <w:highlight w:val="none"/>
              </w:rPr>
            </w:pPr>
            <w:r>
              <w:rPr>
                <w:rFonts w:hint="eastAsia" w:asciiTheme="minorEastAsia" w:hAnsiTheme="minorEastAsia" w:eastAsiaTheme="minorEastAsia"/>
                <w:color w:val="000000"/>
                <w:szCs w:val="21"/>
                <w:highlight w:val="none"/>
              </w:rPr>
              <w:t>（</w:t>
            </w:r>
            <w:r>
              <w:rPr>
                <w:rFonts w:ascii="宋体" w:hAnsi="宋体"/>
                <w:szCs w:val="21"/>
                <w:highlight w:val="none"/>
              </w:rPr>
              <w:t>2</w:t>
            </w:r>
            <w:r>
              <w:rPr>
                <w:rFonts w:hint="eastAsia" w:ascii="宋体" w:hAnsi="宋体"/>
                <w:szCs w:val="21"/>
                <w:highlight w:val="none"/>
              </w:rPr>
              <w:t>）</w:t>
            </w:r>
            <w:r>
              <w:rPr>
                <w:rFonts w:hint="eastAsia"/>
                <w:highlight w:val="none"/>
              </w:rPr>
              <w:t>施工组织设计得分高的投标人优先</w:t>
            </w:r>
            <w:r>
              <w:rPr>
                <w:rFonts w:hint="eastAsia" w:ascii="宋体" w:hAnsi="宋体"/>
                <w:szCs w:val="21"/>
                <w:highlight w:val="none"/>
              </w:rPr>
              <w:t>；</w:t>
            </w:r>
          </w:p>
          <w:p w14:paraId="128E680C">
            <w:pPr>
              <w:snapToGrid w:val="0"/>
              <w:spacing w:line="360" w:lineRule="exact"/>
              <w:rPr>
                <w:rFonts w:hint="eastAsia" w:asciiTheme="minorEastAsia" w:hAnsiTheme="minorEastAsia" w:eastAsiaTheme="minorEastAsia"/>
                <w:color w:val="000000"/>
                <w:szCs w:val="21"/>
                <w:highlight w:val="none"/>
              </w:rPr>
            </w:pPr>
            <w:r>
              <w:rPr>
                <w:rFonts w:hint="eastAsia" w:asciiTheme="minorEastAsia" w:hAnsiTheme="minorEastAsia" w:eastAsiaTheme="minorEastAsia"/>
                <w:color w:val="000000"/>
                <w:szCs w:val="21"/>
                <w:highlight w:val="none"/>
              </w:rPr>
              <w:t>（</w:t>
            </w:r>
            <w:r>
              <w:rPr>
                <w:rFonts w:asciiTheme="minorEastAsia" w:hAnsiTheme="minorEastAsia" w:eastAsiaTheme="minorEastAsia"/>
                <w:color w:val="000000"/>
                <w:szCs w:val="21"/>
                <w:highlight w:val="none"/>
              </w:rPr>
              <w:t>3</w:t>
            </w:r>
            <w:r>
              <w:rPr>
                <w:rFonts w:hint="eastAsia" w:asciiTheme="minorEastAsia" w:hAnsiTheme="minorEastAsia" w:eastAsiaTheme="minorEastAsia"/>
                <w:color w:val="000000"/>
                <w:szCs w:val="21"/>
                <w:highlight w:val="none"/>
              </w:rPr>
              <w:t>）类似工程经验得分高的投标人优先；</w:t>
            </w:r>
          </w:p>
          <w:p w14:paraId="7C3A5DB6">
            <w:pPr>
              <w:snapToGrid w:val="0"/>
              <w:spacing w:line="360" w:lineRule="exact"/>
              <w:rPr>
                <w:rFonts w:hint="eastAsia" w:asciiTheme="minorEastAsia" w:hAnsiTheme="minorEastAsia" w:eastAsiaTheme="minorEastAsia"/>
                <w:color w:val="000000"/>
                <w:szCs w:val="21"/>
                <w:highlight w:val="none"/>
              </w:rPr>
            </w:pPr>
            <w:r>
              <w:rPr>
                <w:rFonts w:hint="eastAsia" w:asciiTheme="minorEastAsia" w:hAnsiTheme="minorEastAsia" w:eastAsiaTheme="minorEastAsia"/>
                <w:color w:val="000000"/>
                <w:szCs w:val="21"/>
                <w:highlight w:val="none"/>
              </w:rPr>
              <w:t>（</w:t>
            </w:r>
            <w:r>
              <w:rPr>
                <w:rFonts w:asciiTheme="minorEastAsia" w:hAnsiTheme="minorEastAsia" w:eastAsiaTheme="minorEastAsia"/>
                <w:color w:val="000000"/>
                <w:szCs w:val="21"/>
                <w:highlight w:val="none"/>
              </w:rPr>
              <w:t>4</w:t>
            </w:r>
            <w:r>
              <w:rPr>
                <w:rFonts w:hint="eastAsia" w:asciiTheme="minorEastAsia" w:hAnsiTheme="minorEastAsia" w:eastAsiaTheme="minorEastAsia"/>
                <w:color w:val="000000"/>
                <w:szCs w:val="21"/>
                <w:highlight w:val="none"/>
              </w:rPr>
              <w:t>）项目管理机构得分高的投标人优先。</w:t>
            </w:r>
          </w:p>
          <w:p w14:paraId="662A08A6">
            <w:pPr>
              <w:snapToGrid w:val="0"/>
              <w:spacing w:line="360" w:lineRule="exact"/>
              <w:rPr>
                <w:rFonts w:hint="eastAsia" w:asciiTheme="minorEastAsia" w:hAnsiTheme="minorEastAsia" w:eastAsiaTheme="minorEastAsia"/>
                <w:color w:val="000000"/>
                <w:szCs w:val="21"/>
                <w:highlight w:val="none"/>
              </w:rPr>
            </w:pPr>
            <w:r>
              <w:rPr>
                <w:rFonts w:hint="eastAsia" w:asciiTheme="minorEastAsia" w:hAnsiTheme="minorEastAsia" w:eastAsiaTheme="minorEastAsia"/>
                <w:color w:val="000000"/>
                <w:szCs w:val="21"/>
                <w:highlight w:val="none"/>
              </w:rPr>
              <w:t>若以上均相等，则由评标委员会投票表决确定排序先后。</w:t>
            </w:r>
          </w:p>
        </w:tc>
      </w:tr>
      <w:tr w14:paraId="6C18ADE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restart"/>
            <w:tcBorders>
              <w:top w:val="single" w:color="auto" w:sz="4" w:space="0"/>
              <w:left w:val="single" w:color="auto" w:sz="4" w:space="0"/>
              <w:bottom w:val="single" w:color="auto" w:sz="4" w:space="0"/>
              <w:right w:val="single" w:color="auto" w:sz="4" w:space="0"/>
            </w:tcBorders>
            <w:vAlign w:val="center"/>
          </w:tcPr>
          <w:p w14:paraId="4BE30DBB">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2.1.1</w:t>
            </w:r>
          </w:p>
        </w:tc>
        <w:tc>
          <w:tcPr>
            <w:tcW w:w="521" w:type="pct"/>
            <w:vMerge w:val="restart"/>
            <w:tcBorders>
              <w:top w:val="single" w:color="auto" w:sz="4" w:space="0"/>
              <w:left w:val="single" w:color="auto" w:sz="4" w:space="0"/>
              <w:bottom w:val="single" w:color="auto" w:sz="4" w:space="0"/>
              <w:right w:val="single" w:color="auto" w:sz="4" w:space="0"/>
            </w:tcBorders>
            <w:vAlign w:val="center"/>
          </w:tcPr>
          <w:p w14:paraId="60928A16">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形式评审</w:t>
            </w:r>
          </w:p>
          <w:p w14:paraId="70C84EF2">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标准</w:t>
            </w: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4F899BC4">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投标人名称</w:t>
            </w:r>
          </w:p>
        </w:tc>
        <w:tc>
          <w:tcPr>
            <w:tcW w:w="2918" w:type="pct"/>
            <w:tcBorders>
              <w:top w:val="single" w:color="auto" w:sz="4" w:space="0"/>
              <w:left w:val="single" w:color="auto" w:sz="4" w:space="0"/>
              <w:bottom w:val="single" w:color="auto" w:sz="4" w:space="0"/>
              <w:right w:val="single" w:color="auto" w:sz="4" w:space="0"/>
            </w:tcBorders>
            <w:vAlign w:val="center"/>
          </w:tcPr>
          <w:p w14:paraId="6D297FCC">
            <w:pPr>
              <w:spacing w:line="360" w:lineRule="exact"/>
              <w:jc w:val="left"/>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与营业执照、资质证书、</w:t>
            </w:r>
            <w:r>
              <w:rPr>
                <w:rFonts w:hint="eastAsia" w:asciiTheme="minorEastAsia" w:hAnsiTheme="minorEastAsia" w:eastAsiaTheme="minorEastAsia"/>
                <w:color w:val="000000"/>
                <w:highlight w:val="none"/>
              </w:rPr>
              <w:t>承装（修、试）电力设施许可证、</w:t>
            </w:r>
            <w:r>
              <w:rPr>
                <w:rFonts w:asciiTheme="minorEastAsia" w:hAnsiTheme="minorEastAsia" w:eastAsiaTheme="minorEastAsia"/>
                <w:color w:val="000000"/>
                <w:highlight w:val="none"/>
              </w:rPr>
              <w:t>安全生产许可证一致。</w:t>
            </w:r>
          </w:p>
        </w:tc>
      </w:tr>
      <w:tr w14:paraId="2DB8452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09D3FC8B">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248C0596">
            <w:pPr>
              <w:spacing w:line="360" w:lineRule="exact"/>
              <w:jc w:val="left"/>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2ABF21F6">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投标函签字盖章</w:t>
            </w:r>
          </w:p>
        </w:tc>
        <w:tc>
          <w:tcPr>
            <w:tcW w:w="2918" w:type="pct"/>
            <w:tcBorders>
              <w:top w:val="single" w:color="auto" w:sz="4" w:space="0"/>
              <w:left w:val="single" w:color="auto" w:sz="4" w:space="0"/>
              <w:bottom w:val="single" w:color="auto" w:sz="4" w:space="0"/>
              <w:right w:val="single" w:color="auto" w:sz="4" w:space="0"/>
            </w:tcBorders>
            <w:vAlign w:val="center"/>
          </w:tcPr>
          <w:p w14:paraId="0186A560">
            <w:pPr>
              <w:autoSpaceDE w:val="0"/>
              <w:autoSpaceDN w:val="0"/>
              <w:adjustRightInd w:val="0"/>
              <w:spacing w:line="360" w:lineRule="exact"/>
              <w:rPr>
                <w:rFonts w:hint="eastAsia" w:ascii="宋体" w:hAnsi="宋体" w:cs="宋体"/>
                <w:szCs w:val="21"/>
                <w:highlight w:val="none"/>
              </w:rPr>
            </w:pPr>
            <w:r>
              <w:rPr>
                <w:rFonts w:hint="eastAsia" w:ascii="宋体" w:hAnsi="宋体" w:cs="宋体"/>
                <w:szCs w:val="21"/>
                <w:highlight w:val="none"/>
              </w:rPr>
              <w:t>有法定代表人或其委托代理人签字或加盖单位公章。</w:t>
            </w:r>
          </w:p>
          <w:p w14:paraId="25830089">
            <w:pPr>
              <w:spacing w:line="360" w:lineRule="exact"/>
              <w:jc w:val="left"/>
              <w:rPr>
                <w:rFonts w:hint="eastAsia" w:asciiTheme="minorEastAsia" w:hAnsiTheme="minorEastAsia" w:eastAsiaTheme="minorEastAsia"/>
                <w:color w:val="000000"/>
                <w:highlight w:val="none"/>
              </w:rPr>
            </w:pPr>
            <w:r>
              <w:rPr>
                <w:rFonts w:hint="eastAsia" w:ascii="宋体" w:hAnsi="宋体" w:cs="宋体"/>
                <w:szCs w:val="21"/>
                <w:highlight w:val="none"/>
              </w:rPr>
              <w:t>由法定代表人签字的，应附法定代表人身份证明；由委托代理人签字的，应附授权委托书。法定代表人身份证明或授权委托书应符合第八章“投标文件格式”的规定。</w:t>
            </w:r>
          </w:p>
        </w:tc>
      </w:tr>
      <w:tr w14:paraId="0E6AB52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11412BFE">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0C416A0F">
            <w:pPr>
              <w:spacing w:line="360" w:lineRule="exact"/>
              <w:jc w:val="left"/>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448E74D0">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投标文件格式</w:t>
            </w:r>
          </w:p>
        </w:tc>
        <w:tc>
          <w:tcPr>
            <w:tcW w:w="2918" w:type="pct"/>
            <w:tcBorders>
              <w:top w:val="single" w:color="auto" w:sz="4" w:space="0"/>
              <w:left w:val="single" w:color="auto" w:sz="4" w:space="0"/>
              <w:bottom w:val="single" w:color="auto" w:sz="4" w:space="0"/>
              <w:right w:val="single" w:color="auto" w:sz="4" w:space="0"/>
            </w:tcBorders>
            <w:vAlign w:val="center"/>
          </w:tcPr>
          <w:p w14:paraId="282429F7">
            <w:pPr>
              <w:spacing w:line="360" w:lineRule="exact"/>
              <w:jc w:val="left"/>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符合第八章“投标文件格式”的要求</w:t>
            </w:r>
          </w:p>
        </w:tc>
      </w:tr>
      <w:tr w14:paraId="4ED085EA">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2EB4A3DD">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62FF1113">
            <w:pPr>
              <w:spacing w:line="360" w:lineRule="exact"/>
              <w:jc w:val="left"/>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6E3F0427">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报价唯一</w:t>
            </w:r>
          </w:p>
        </w:tc>
        <w:tc>
          <w:tcPr>
            <w:tcW w:w="2918" w:type="pct"/>
            <w:tcBorders>
              <w:top w:val="single" w:color="auto" w:sz="4" w:space="0"/>
              <w:left w:val="single" w:color="auto" w:sz="4" w:space="0"/>
              <w:bottom w:val="single" w:color="auto" w:sz="4" w:space="0"/>
              <w:right w:val="single" w:color="auto" w:sz="4" w:space="0"/>
            </w:tcBorders>
            <w:vAlign w:val="center"/>
          </w:tcPr>
          <w:p w14:paraId="028F4ED9">
            <w:pPr>
              <w:spacing w:line="360" w:lineRule="exact"/>
              <w:jc w:val="left"/>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只能有一个有效报价</w:t>
            </w:r>
          </w:p>
        </w:tc>
      </w:tr>
      <w:tr w14:paraId="0D6AA0D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restart"/>
            <w:tcBorders>
              <w:top w:val="single" w:color="auto" w:sz="4" w:space="0"/>
              <w:left w:val="single" w:color="auto" w:sz="4" w:space="0"/>
              <w:bottom w:val="single" w:color="auto" w:sz="4" w:space="0"/>
              <w:right w:val="single" w:color="auto" w:sz="4" w:space="0"/>
            </w:tcBorders>
            <w:vAlign w:val="center"/>
          </w:tcPr>
          <w:p w14:paraId="30AE4CDC">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2.1.2</w:t>
            </w:r>
          </w:p>
        </w:tc>
        <w:tc>
          <w:tcPr>
            <w:tcW w:w="521" w:type="pct"/>
            <w:vMerge w:val="restart"/>
            <w:tcBorders>
              <w:top w:val="single" w:color="auto" w:sz="4" w:space="0"/>
              <w:left w:val="single" w:color="auto" w:sz="4" w:space="0"/>
              <w:bottom w:val="single" w:color="auto" w:sz="4" w:space="0"/>
              <w:right w:val="single" w:color="auto" w:sz="4" w:space="0"/>
            </w:tcBorders>
            <w:vAlign w:val="center"/>
          </w:tcPr>
          <w:p w14:paraId="29C75F27">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资格评审标准</w:t>
            </w: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609A1CBB">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营业执照</w:t>
            </w:r>
          </w:p>
        </w:tc>
        <w:tc>
          <w:tcPr>
            <w:tcW w:w="2918" w:type="pct"/>
            <w:tcBorders>
              <w:top w:val="single" w:color="auto" w:sz="4" w:space="0"/>
              <w:left w:val="single" w:color="auto" w:sz="4" w:space="0"/>
              <w:bottom w:val="single" w:color="auto" w:sz="4" w:space="0"/>
              <w:right w:val="single" w:color="auto" w:sz="4" w:space="0"/>
            </w:tcBorders>
            <w:vAlign w:val="center"/>
          </w:tcPr>
          <w:p w14:paraId="134D094E">
            <w:pPr>
              <w:spacing w:line="360" w:lineRule="exact"/>
              <w:jc w:val="left"/>
              <w:rPr>
                <w:rFonts w:hint="eastAsia" w:asciiTheme="minorEastAsia" w:hAnsiTheme="minorEastAsia" w:eastAsiaTheme="minorEastAsia"/>
                <w:color w:val="000000"/>
                <w:highlight w:val="none"/>
              </w:rPr>
            </w:pPr>
            <w:r>
              <w:rPr>
                <w:rFonts w:hint="eastAsia" w:ascii="宋体" w:hAnsi="宋体" w:cs="宋体"/>
                <w:szCs w:val="21"/>
                <w:highlight w:val="none"/>
                <w:lang w:val="zh-CN"/>
              </w:rPr>
              <w:t>具备有效的营业执照，</w:t>
            </w:r>
            <w:r>
              <w:rPr>
                <w:rFonts w:hint="eastAsia" w:ascii="黑体" w:hAnsi="黑体" w:eastAsia="黑体" w:cs="宋体"/>
                <w:szCs w:val="21"/>
                <w:highlight w:val="none"/>
                <w:lang w:val="zh-CN"/>
              </w:rPr>
              <w:t>标书内附加盖公章的扫描件</w:t>
            </w:r>
            <w:r>
              <w:rPr>
                <w:rFonts w:hint="eastAsia" w:ascii="宋体" w:hAnsi="宋体" w:cs="宋体"/>
                <w:szCs w:val="21"/>
                <w:highlight w:val="none"/>
                <w:lang w:val="zh-CN"/>
              </w:rPr>
              <w:t>。</w:t>
            </w:r>
          </w:p>
        </w:tc>
      </w:tr>
      <w:tr w14:paraId="3021094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4EAA52F1">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773CCFC6">
            <w:pPr>
              <w:spacing w:line="360" w:lineRule="exact"/>
              <w:jc w:val="left"/>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72FBD22B">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安全生产许可证</w:t>
            </w:r>
          </w:p>
        </w:tc>
        <w:tc>
          <w:tcPr>
            <w:tcW w:w="2918" w:type="pct"/>
            <w:tcBorders>
              <w:top w:val="single" w:color="auto" w:sz="4" w:space="0"/>
              <w:left w:val="single" w:color="auto" w:sz="4" w:space="0"/>
              <w:bottom w:val="single" w:color="auto" w:sz="4" w:space="0"/>
              <w:right w:val="single" w:color="auto" w:sz="4" w:space="0"/>
            </w:tcBorders>
            <w:vAlign w:val="center"/>
          </w:tcPr>
          <w:p w14:paraId="41BAA38C">
            <w:pPr>
              <w:pStyle w:val="54"/>
              <w:spacing w:after="0" w:line="360" w:lineRule="exact"/>
              <w:ind w:firstLine="0"/>
              <w:rPr>
                <w:rFonts w:hint="eastAsia" w:asciiTheme="minorEastAsia" w:hAnsiTheme="minorEastAsia" w:eastAsiaTheme="minorEastAsia"/>
                <w:color w:val="000000"/>
                <w:highlight w:val="none"/>
              </w:rPr>
            </w:pPr>
            <w:r>
              <w:rPr>
                <w:rFonts w:hint="eastAsia" w:ascii="宋体" w:hAnsi="宋体" w:cs="宋体"/>
                <w:szCs w:val="21"/>
                <w:highlight w:val="none"/>
                <w:lang w:val="zh-CN" w:bidi="ar"/>
              </w:rPr>
              <w:t>具备有效的安全生产许可证，</w:t>
            </w:r>
            <w:r>
              <w:rPr>
                <w:rFonts w:hint="eastAsia" w:ascii="黑体" w:hAnsi="黑体" w:eastAsia="黑体" w:cs="宋体"/>
                <w:szCs w:val="21"/>
                <w:highlight w:val="none"/>
                <w:lang w:val="zh-CN" w:bidi="ar"/>
              </w:rPr>
              <w:t>标书内附加盖公章的扫描件</w:t>
            </w:r>
            <w:r>
              <w:rPr>
                <w:rFonts w:hint="eastAsia" w:ascii="宋体" w:hAnsi="宋体" w:cs="宋体"/>
                <w:szCs w:val="21"/>
                <w:highlight w:val="none"/>
                <w:lang w:val="zh-CN" w:bidi="ar"/>
              </w:rPr>
              <w:t>。</w:t>
            </w:r>
          </w:p>
        </w:tc>
      </w:tr>
      <w:tr w14:paraId="78B62A7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7E6EA7D6">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7629A6EA">
            <w:pPr>
              <w:spacing w:line="360" w:lineRule="exact"/>
              <w:jc w:val="left"/>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36F547AF">
            <w:pPr>
              <w:spacing w:line="360" w:lineRule="exact"/>
              <w:jc w:val="center"/>
              <w:rPr>
                <w:rFonts w:hint="eastAsia" w:asciiTheme="minorEastAsia" w:hAnsiTheme="minorEastAsia" w:eastAsiaTheme="minorEastAsia"/>
                <w:color w:val="000000"/>
                <w:highlight w:val="none"/>
              </w:rPr>
            </w:pPr>
            <w:r>
              <w:rPr>
                <w:rFonts w:hint="eastAsia" w:asciiTheme="minorEastAsia" w:hAnsiTheme="minorEastAsia" w:eastAsiaTheme="minorEastAsia"/>
                <w:color w:val="000000"/>
                <w:highlight w:val="none"/>
              </w:rPr>
              <w:t>承装（修、试）电力设施许可证</w:t>
            </w:r>
          </w:p>
        </w:tc>
        <w:tc>
          <w:tcPr>
            <w:tcW w:w="2918" w:type="pct"/>
            <w:tcBorders>
              <w:top w:val="single" w:color="auto" w:sz="4" w:space="0"/>
              <w:left w:val="single" w:color="auto" w:sz="4" w:space="0"/>
              <w:bottom w:val="single" w:color="auto" w:sz="4" w:space="0"/>
              <w:right w:val="single" w:color="auto" w:sz="4" w:space="0"/>
            </w:tcBorders>
            <w:vAlign w:val="center"/>
          </w:tcPr>
          <w:p w14:paraId="7ACBD4F8">
            <w:pPr>
              <w:spacing w:line="360" w:lineRule="exact"/>
              <w:jc w:val="left"/>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具备有效的</w:t>
            </w:r>
            <w:r>
              <w:rPr>
                <w:rFonts w:hint="eastAsia" w:asciiTheme="minorEastAsia" w:hAnsiTheme="minorEastAsia" w:eastAsiaTheme="minorEastAsia"/>
                <w:color w:val="000000"/>
                <w:highlight w:val="none"/>
              </w:rPr>
              <w:t>承装（修、试）电力设施许可证，</w:t>
            </w:r>
            <w:r>
              <w:rPr>
                <w:rFonts w:hint="eastAsia" w:ascii="黑体" w:hAnsi="黑体" w:eastAsia="黑体" w:cs="宋体"/>
                <w:kern w:val="0"/>
                <w:szCs w:val="21"/>
                <w:highlight w:val="none"/>
                <w:lang w:val="zh-CN" w:bidi="ar"/>
              </w:rPr>
              <w:t>标书内附加盖公章的扫描件</w:t>
            </w:r>
            <w:r>
              <w:rPr>
                <w:rFonts w:hint="eastAsia" w:ascii="宋体" w:hAnsi="宋体" w:cs="宋体"/>
                <w:szCs w:val="21"/>
                <w:highlight w:val="none"/>
                <w:lang w:val="zh-CN" w:bidi="ar"/>
              </w:rPr>
              <w:t>。</w:t>
            </w:r>
          </w:p>
        </w:tc>
      </w:tr>
      <w:tr w14:paraId="30E0073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7F8851E0">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2BB9EA33">
            <w:pPr>
              <w:spacing w:line="360" w:lineRule="exact"/>
              <w:jc w:val="left"/>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165A68B1">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资质等级</w:t>
            </w:r>
          </w:p>
        </w:tc>
        <w:tc>
          <w:tcPr>
            <w:tcW w:w="2918" w:type="pct"/>
            <w:tcBorders>
              <w:top w:val="single" w:color="auto" w:sz="4" w:space="0"/>
              <w:left w:val="single" w:color="auto" w:sz="4" w:space="0"/>
              <w:bottom w:val="single" w:color="auto" w:sz="4" w:space="0"/>
              <w:right w:val="single" w:color="auto" w:sz="4" w:space="0"/>
            </w:tcBorders>
            <w:vAlign w:val="center"/>
          </w:tcPr>
          <w:p w14:paraId="256F10B0">
            <w:pPr>
              <w:spacing w:line="360" w:lineRule="exact"/>
              <w:jc w:val="left"/>
              <w:rPr>
                <w:rFonts w:hint="eastAsia" w:asciiTheme="minorEastAsia" w:hAnsiTheme="minorEastAsia" w:eastAsiaTheme="minorEastAsia"/>
                <w:color w:val="000000"/>
                <w:highlight w:val="none"/>
              </w:rPr>
            </w:pPr>
            <w:r>
              <w:rPr>
                <w:rFonts w:hint="eastAsia" w:asciiTheme="minorEastAsia" w:hAnsiTheme="minorEastAsia" w:eastAsiaTheme="minorEastAsia"/>
                <w:szCs w:val="21"/>
                <w:highlight w:val="none"/>
              </w:rPr>
              <w:t>具有输变电工程专业承包三级及以上资质或电力工程施工总承包三级及以上资质，</w:t>
            </w:r>
            <w:r>
              <w:rPr>
                <w:rFonts w:hint="eastAsia" w:ascii="黑体" w:hAnsi="黑体" w:eastAsia="黑体" w:cs="宋体"/>
                <w:kern w:val="0"/>
                <w:szCs w:val="21"/>
                <w:highlight w:val="none"/>
                <w:lang w:val="zh-CN" w:bidi="ar"/>
              </w:rPr>
              <w:t>标书内附加盖公章的扫描件</w:t>
            </w:r>
            <w:r>
              <w:rPr>
                <w:rFonts w:hint="eastAsia" w:ascii="宋体" w:hAnsi="宋体" w:cs="宋体"/>
                <w:szCs w:val="21"/>
                <w:highlight w:val="none"/>
                <w:lang w:val="zh-CN" w:bidi="ar"/>
              </w:rPr>
              <w:t>。</w:t>
            </w:r>
          </w:p>
        </w:tc>
      </w:tr>
      <w:tr w14:paraId="4947276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624" w:hRule="atLeast"/>
        </w:trPr>
        <w:tc>
          <w:tcPr>
            <w:tcW w:w="464" w:type="pct"/>
            <w:vMerge w:val="continue"/>
            <w:tcBorders>
              <w:top w:val="single" w:color="auto" w:sz="4" w:space="0"/>
              <w:left w:val="single" w:color="auto" w:sz="4" w:space="0"/>
              <w:bottom w:val="single" w:color="auto" w:sz="4" w:space="0"/>
              <w:right w:val="single" w:color="auto" w:sz="4" w:space="0"/>
            </w:tcBorders>
            <w:vAlign w:val="center"/>
          </w:tcPr>
          <w:p w14:paraId="1D822D5D">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261314D7">
            <w:pPr>
              <w:spacing w:line="360" w:lineRule="exact"/>
              <w:jc w:val="left"/>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45133D98">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财务状况</w:t>
            </w:r>
          </w:p>
        </w:tc>
        <w:tc>
          <w:tcPr>
            <w:tcW w:w="2918" w:type="pct"/>
            <w:tcBorders>
              <w:top w:val="single" w:color="auto" w:sz="4" w:space="0"/>
              <w:left w:val="single" w:color="auto" w:sz="4" w:space="0"/>
              <w:bottom w:val="single" w:color="auto" w:sz="4" w:space="0"/>
              <w:right w:val="single" w:color="auto" w:sz="4" w:space="0"/>
            </w:tcBorders>
            <w:vAlign w:val="center"/>
          </w:tcPr>
          <w:p w14:paraId="4C623FEF">
            <w:pPr>
              <w:adjustRightInd w:val="0"/>
              <w:snapToGrid w:val="0"/>
              <w:spacing w:line="360" w:lineRule="exact"/>
              <w:rPr>
                <w:rFonts w:hint="eastAsia" w:asciiTheme="minorEastAsia" w:hAnsiTheme="minorEastAsia" w:eastAsiaTheme="minorEastAsia"/>
                <w:szCs w:val="21"/>
                <w:highlight w:val="none"/>
              </w:rPr>
            </w:pPr>
            <w:r>
              <w:rPr>
                <w:rFonts w:hint="eastAsia" w:ascii="宋体" w:hAnsi="宋体"/>
                <w:kern w:val="0"/>
                <w:szCs w:val="21"/>
                <w:highlight w:val="none"/>
                <w:lang w:val="zh-CN"/>
              </w:rPr>
              <w:t>投标人近三年（2023年～投标截止时间）具有良好的商业信誉和健全的财务会计制度。</w:t>
            </w:r>
          </w:p>
          <w:p w14:paraId="32A0436B">
            <w:pPr>
              <w:spacing w:line="360" w:lineRule="exact"/>
              <w:ind w:firstLine="210" w:firstLineChars="100"/>
              <w:rPr>
                <w:rFonts w:hint="eastAsia" w:asciiTheme="minorEastAsia" w:hAnsiTheme="minorEastAsia" w:eastAsiaTheme="minorEastAsia"/>
                <w:color w:val="000000"/>
                <w:highlight w:val="none"/>
              </w:rPr>
            </w:pPr>
            <w:r>
              <w:rPr>
                <w:rFonts w:hint="eastAsia" w:ascii="黑体" w:hAnsi="黑体" w:eastAsia="黑体" w:cs="宋体"/>
                <w:kern w:val="0"/>
                <w:szCs w:val="21"/>
                <w:highlight w:val="none"/>
                <w:lang w:val="zh-CN" w:bidi="ar"/>
              </w:rPr>
              <w:t>标书内附</w:t>
            </w:r>
            <w:r>
              <w:rPr>
                <w:rFonts w:hint="eastAsia" w:ascii="黑体" w:hAnsi="黑体" w:eastAsia="黑体"/>
                <w:kern w:val="0"/>
                <w:szCs w:val="21"/>
                <w:highlight w:val="none"/>
                <w:lang w:val="zh-CN"/>
              </w:rPr>
              <w:t>投标人近三年（2023年1月1日～投标截止时间）具有良好的商业信誉和健全的财务会计制度的财务状况承诺函并加盖投标人单位公章。</w:t>
            </w:r>
          </w:p>
        </w:tc>
      </w:tr>
      <w:tr w14:paraId="6672657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49C06C58">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76094D73">
            <w:pPr>
              <w:spacing w:line="360" w:lineRule="exact"/>
              <w:jc w:val="left"/>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5DED1AAE">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类似项目业绩</w:t>
            </w:r>
          </w:p>
        </w:tc>
        <w:tc>
          <w:tcPr>
            <w:tcW w:w="2918" w:type="pct"/>
            <w:tcBorders>
              <w:top w:val="single" w:color="auto" w:sz="4" w:space="0"/>
              <w:left w:val="single" w:color="auto" w:sz="4" w:space="0"/>
              <w:bottom w:val="single" w:color="auto" w:sz="4" w:space="0"/>
              <w:right w:val="single" w:color="auto" w:sz="4" w:space="0"/>
            </w:tcBorders>
            <w:vAlign w:val="center"/>
          </w:tcPr>
          <w:p w14:paraId="6C25603F">
            <w:pPr>
              <w:spacing w:line="360" w:lineRule="exact"/>
              <w:ind w:firstLine="420" w:firstLineChars="200"/>
              <w:jc w:val="left"/>
              <w:rPr>
                <w:rFonts w:hint="eastAsia" w:ascii="黑体" w:hAnsi="黑体" w:eastAsia="黑体"/>
                <w:highlight w:val="none"/>
                <w:lang w:val="zh-CN"/>
              </w:rPr>
            </w:pPr>
            <w:r>
              <w:rPr>
                <w:rFonts w:hint="eastAsia" w:asciiTheme="minorEastAsia" w:hAnsiTheme="minorEastAsia" w:eastAsiaTheme="minorEastAsia"/>
                <w:highlight w:val="none"/>
                <w:lang w:val="zh-CN"/>
              </w:rPr>
              <w:t>2023年1月1日至投标截止时间（以竣工时间为准）至少完成过1个已</w:t>
            </w:r>
            <w:r>
              <w:rPr>
                <w:rFonts w:asciiTheme="minorEastAsia" w:hAnsiTheme="minorEastAsia" w:eastAsiaTheme="minorEastAsia"/>
                <w:highlight w:val="none"/>
                <w:lang w:val="zh-CN"/>
              </w:rPr>
              <w:t>验收合格的单项合同额2000万元及以上送电线路工程的施工业绩</w:t>
            </w:r>
            <w:r>
              <w:rPr>
                <w:rFonts w:hint="eastAsia" w:asciiTheme="minorEastAsia" w:hAnsiTheme="minorEastAsia" w:eastAsiaTheme="minorEastAsia"/>
                <w:highlight w:val="none"/>
                <w:lang w:val="zh-CN"/>
              </w:rPr>
              <w:t>。</w:t>
            </w:r>
          </w:p>
          <w:p w14:paraId="70EA4553">
            <w:pPr>
              <w:spacing w:line="360" w:lineRule="exact"/>
              <w:ind w:firstLine="420" w:firstLineChars="200"/>
              <w:jc w:val="left"/>
              <w:rPr>
                <w:rFonts w:hint="eastAsia" w:asciiTheme="minorEastAsia" w:hAnsiTheme="minorEastAsia" w:eastAsiaTheme="minorEastAsia"/>
                <w:color w:val="000000"/>
                <w:highlight w:val="none"/>
              </w:rPr>
            </w:pPr>
            <w:r>
              <w:rPr>
                <w:rFonts w:hint="eastAsia" w:ascii="黑体" w:hAnsi="黑体" w:eastAsia="黑体"/>
                <w:highlight w:val="none"/>
                <w:lang w:val="zh-CN"/>
              </w:rPr>
              <w:t>标书内附加盖公章的扫描件</w:t>
            </w:r>
            <w:r>
              <w:rPr>
                <w:rFonts w:hint="eastAsia" w:asciiTheme="minorEastAsia" w:hAnsiTheme="minorEastAsia" w:eastAsiaTheme="minorEastAsia"/>
                <w:highlight w:val="none"/>
                <w:lang w:val="zh-CN"/>
              </w:rPr>
              <w:t>（提供合同协议书或竣工验收报告</w:t>
            </w:r>
            <w:r>
              <w:rPr>
                <w:rFonts w:hint="eastAsia" w:asciiTheme="minorEastAsia" w:hAnsiTheme="minorEastAsia" w:eastAsiaTheme="minorEastAsia"/>
                <w:highlight w:val="none"/>
              </w:rPr>
              <w:t>，</w:t>
            </w:r>
            <w:r>
              <w:rPr>
                <w:rFonts w:hint="eastAsia" w:asciiTheme="minorEastAsia" w:hAnsiTheme="minorEastAsia" w:eastAsiaTheme="minorEastAsia"/>
                <w:highlight w:val="none"/>
                <w:lang w:val="zh-CN"/>
              </w:rPr>
              <w:t>或</w:t>
            </w:r>
            <w:r>
              <w:rPr>
                <w:rFonts w:hint="eastAsia" w:cs="宋体" w:asciiTheme="minorEastAsia" w:hAnsiTheme="minorEastAsia" w:eastAsiaTheme="minorEastAsia"/>
                <w:szCs w:val="21"/>
                <w:highlight w:val="none"/>
              </w:rPr>
              <w:t>提供</w:t>
            </w:r>
            <w:r>
              <w:rPr>
                <w:rFonts w:hint="eastAsia" w:ascii="宋体" w:hAnsi="宋体"/>
                <w:szCs w:val="21"/>
                <w:highlight w:val="none"/>
              </w:rPr>
              <w:t>“省级建筑市场监管一体化工作平台”或“省级建筑市场监管公共服务平台”或“全国建筑市场监管公共服务平台”</w:t>
            </w:r>
            <w:r>
              <w:rPr>
                <w:rFonts w:hint="eastAsia" w:ascii="宋体" w:hAnsi="宋体" w:cs="宋体"/>
                <w:szCs w:val="21"/>
                <w:highlight w:val="none"/>
              </w:rPr>
              <w:t>业绩网页截图）。证明材料</w:t>
            </w:r>
            <w:r>
              <w:rPr>
                <w:rFonts w:hint="eastAsia" w:ascii="黑体" w:hAnsi="黑体" w:eastAsia="黑体" w:cs="宋体"/>
                <w:szCs w:val="21"/>
                <w:highlight w:val="none"/>
              </w:rPr>
              <w:t>须体现项目名称、竣工时间</w:t>
            </w:r>
            <w:r>
              <w:rPr>
                <w:rFonts w:hint="eastAsia" w:ascii="黑体" w:hAnsi="黑体" w:eastAsia="黑体"/>
                <w:color w:val="000000"/>
                <w:szCs w:val="21"/>
                <w:highlight w:val="none"/>
              </w:rPr>
              <w:t>、合同金额</w:t>
            </w:r>
            <w:r>
              <w:rPr>
                <w:rFonts w:hint="eastAsia" w:ascii="宋体" w:hAnsi="宋体" w:cs="宋体"/>
                <w:szCs w:val="21"/>
                <w:highlight w:val="none"/>
              </w:rPr>
              <w:t>。</w:t>
            </w:r>
          </w:p>
        </w:tc>
      </w:tr>
      <w:tr w14:paraId="03F64B0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3866" w:hRule="atLeast"/>
        </w:trPr>
        <w:tc>
          <w:tcPr>
            <w:tcW w:w="464" w:type="pct"/>
            <w:vMerge w:val="continue"/>
            <w:tcBorders>
              <w:top w:val="single" w:color="auto" w:sz="4" w:space="0"/>
              <w:left w:val="single" w:color="auto" w:sz="4" w:space="0"/>
              <w:bottom w:val="single" w:color="auto" w:sz="4" w:space="0"/>
              <w:right w:val="single" w:color="auto" w:sz="4" w:space="0"/>
            </w:tcBorders>
            <w:vAlign w:val="center"/>
          </w:tcPr>
          <w:p w14:paraId="4DAC01EA">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5AD24CDE">
            <w:pPr>
              <w:spacing w:line="360" w:lineRule="exact"/>
              <w:jc w:val="left"/>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50DBB8D7">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信誉</w:t>
            </w:r>
          </w:p>
        </w:tc>
        <w:tc>
          <w:tcPr>
            <w:tcW w:w="2918" w:type="pct"/>
            <w:tcBorders>
              <w:top w:val="single" w:color="auto" w:sz="4" w:space="0"/>
              <w:left w:val="single" w:color="auto" w:sz="4" w:space="0"/>
              <w:bottom w:val="single" w:color="auto" w:sz="4" w:space="0"/>
              <w:right w:val="single" w:color="auto" w:sz="4" w:space="0"/>
            </w:tcBorders>
            <w:vAlign w:val="center"/>
          </w:tcPr>
          <w:p w14:paraId="184EE1EE">
            <w:pPr>
              <w:widowControl/>
              <w:spacing w:line="360" w:lineRule="exact"/>
              <w:jc w:val="left"/>
              <w:rPr>
                <w:rFonts w:hint="eastAsia" w:ascii="宋体" w:hAnsi="宋体" w:cs="宋体"/>
                <w:kern w:val="0"/>
                <w:szCs w:val="21"/>
                <w:highlight w:val="none"/>
              </w:rPr>
            </w:pPr>
            <w:r>
              <w:rPr>
                <w:rFonts w:hint="eastAsia" w:ascii="宋体" w:hAnsi="宋体" w:cs="宋体"/>
                <w:kern w:val="0"/>
                <w:szCs w:val="21"/>
                <w:highlight w:val="none"/>
              </w:rPr>
              <w:t>（1）在国家企业信用信息公示系统（www.gsxt.gov.cn）中未被列入严重违法失信企业名单；</w:t>
            </w:r>
          </w:p>
          <w:p w14:paraId="253E286D">
            <w:pPr>
              <w:widowControl/>
              <w:spacing w:line="360" w:lineRule="exact"/>
              <w:jc w:val="left"/>
              <w:rPr>
                <w:rFonts w:hint="eastAsia" w:ascii="宋体" w:hAnsi="宋体" w:cs="宋体"/>
                <w:kern w:val="0"/>
                <w:szCs w:val="21"/>
                <w:highlight w:val="none"/>
              </w:rPr>
            </w:pPr>
            <w:r>
              <w:rPr>
                <w:rFonts w:hint="eastAsia" w:ascii="宋体" w:hAnsi="宋体" w:cs="宋体"/>
                <w:kern w:val="0"/>
                <w:szCs w:val="21"/>
                <w:highlight w:val="none"/>
              </w:rPr>
              <w:t>（2）在“信用中国”网站（www.creditchina.gov.cn）中未被列入失信被执行人名单；</w:t>
            </w:r>
          </w:p>
          <w:p w14:paraId="5CA1A394">
            <w:pPr>
              <w:widowControl/>
              <w:spacing w:line="360" w:lineRule="exact"/>
              <w:jc w:val="left"/>
              <w:rPr>
                <w:rFonts w:hint="eastAsia" w:ascii="宋体" w:hAnsi="宋体" w:cs="宋体"/>
                <w:kern w:val="0"/>
                <w:szCs w:val="21"/>
                <w:highlight w:val="none"/>
              </w:rPr>
            </w:pPr>
            <w:r>
              <w:rPr>
                <w:rFonts w:hint="eastAsia" w:ascii="宋体" w:hAnsi="宋体" w:cs="宋体"/>
                <w:kern w:val="0"/>
                <w:szCs w:val="21"/>
                <w:highlight w:val="none"/>
              </w:rPr>
              <w:t>（3）在近年（2023年1月1日至投标截止时间）内投标人及其法定代表人、拟委任的项目经理未在“中国裁判文书网”</w:t>
            </w:r>
            <w:r>
              <w:rPr>
                <w:rFonts w:hint="eastAsia" w:ascii="宋体" w:hAnsi="宋体" w:cs="宋体"/>
                <w:szCs w:val="21"/>
                <w:highlight w:val="none"/>
                <w:lang w:val="zh-CN"/>
              </w:rPr>
              <w:t xml:space="preserve"> (wenshu.court.gov.cn)</w:t>
            </w:r>
            <w:r>
              <w:rPr>
                <w:rFonts w:hint="eastAsia" w:ascii="宋体" w:hAnsi="宋体" w:cs="宋体"/>
                <w:kern w:val="0"/>
                <w:szCs w:val="21"/>
                <w:highlight w:val="none"/>
              </w:rPr>
              <w:t>上有行贿犯罪记录；</w:t>
            </w:r>
          </w:p>
          <w:p w14:paraId="400D57A2">
            <w:pPr>
              <w:widowControl/>
              <w:spacing w:line="360" w:lineRule="exact"/>
              <w:jc w:val="left"/>
              <w:rPr>
                <w:rFonts w:hint="eastAsia" w:ascii="宋体" w:hAnsi="宋体" w:cs="宋体"/>
                <w:kern w:val="0"/>
                <w:szCs w:val="21"/>
                <w:highlight w:val="none"/>
              </w:rPr>
            </w:pPr>
            <w:r>
              <w:rPr>
                <w:rFonts w:hint="eastAsia" w:ascii="宋体" w:hAnsi="宋体" w:cs="宋体"/>
                <w:kern w:val="0"/>
                <w:szCs w:val="21"/>
                <w:highlight w:val="none"/>
              </w:rPr>
              <w:t>（4）拒绝列入政府取消投标资格记录期间的企业或个人投标。</w:t>
            </w:r>
          </w:p>
          <w:p w14:paraId="5AE7A6C9">
            <w:pPr>
              <w:autoSpaceDE w:val="0"/>
              <w:autoSpaceDN w:val="0"/>
              <w:adjustRightInd w:val="0"/>
              <w:spacing w:line="360" w:lineRule="exact"/>
              <w:ind w:firstLine="420" w:firstLineChars="200"/>
              <w:rPr>
                <w:rFonts w:hint="eastAsia" w:ascii="黑体" w:hAnsi="黑体" w:eastAsia="黑体" w:cs="宋体"/>
                <w:szCs w:val="21"/>
                <w:highlight w:val="none"/>
                <w:lang w:val="zh-CN"/>
              </w:rPr>
            </w:pPr>
            <w:r>
              <w:rPr>
                <w:rFonts w:hint="eastAsia" w:ascii="黑体" w:hAnsi="黑体" w:eastAsia="黑体"/>
                <w:szCs w:val="21"/>
                <w:highlight w:val="none"/>
              </w:rPr>
              <w:t>标书</w:t>
            </w:r>
            <w:r>
              <w:rPr>
                <w:rFonts w:hint="eastAsia" w:ascii="黑体" w:hAnsi="黑体" w:eastAsia="黑体" w:cs="宋体"/>
                <w:szCs w:val="21"/>
                <w:highlight w:val="none"/>
              </w:rPr>
              <w:t>内第（</w:t>
            </w:r>
            <w:r>
              <w:rPr>
                <w:rFonts w:ascii="黑体" w:hAnsi="黑体" w:eastAsia="黑体" w:cs="宋体"/>
                <w:szCs w:val="21"/>
                <w:highlight w:val="none"/>
              </w:rPr>
              <w:t>1</w:t>
            </w:r>
            <w:r>
              <w:rPr>
                <w:rFonts w:hint="eastAsia" w:ascii="黑体" w:hAnsi="黑体" w:eastAsia="黑体" w:cs="宋体"/>
                <w:szCs w:val="21"/>
                <w:highlight w:val="none"/>
              </w:rPr>
              <w:t>）～（</w:t>
            </w:r>
            <w:r>
              <w:rPr>
                <w:rFonts w:ascii="黑体" w:hAnsi="黑体" w:eastAsia="黑体" w:cs="宋体"/>
                <w:szCs w:val="21"/>
                <w:highlight w:val="none"/>
              </w:rPr>
              <w:t>3</w:t>
            </w:r>
            <w:r>
              <w:rPr>
                <w:rFonts w:hint="eastAsia" w:ascii="黑体" w:hAnsi="黑体" w:eastAsia="黑体" w:cs="宋体"/>
                <w:szCs w:val="21"/>
                <w:highlight w:val="none"/>
              </w:rPr>
              <w:t>）项附网站查询截图；标书内第（</w:t>
            </w:r>
            <w:r>
              <w:rPr>
                <w:rFonts w:ascii="黑体" w:hAnsi="黑体" w:eastAsia="黑体" w:cs="宋体"/>
                <w:szCs w:val="21"/>
                <w:highlight w:val="none"/>
              </w:rPr>
              <w:t>4</w:t>
            </w:r>
            <w:r>
              <w:rPr>
                <w:rFonts w:hint="eastAsia" w:ascii="黑体" w:hAnsi="黑体" w:eastAsia="黑体" w:cs="宋体"/>
                <w:szCs w:val="21"/>
                <w:highlight w:val="none"/>
              </w:rPr>
              <w:t>）项附由法定代表人或其委托代理人签字并加盖投标单位公章的承诺书。</w:t>
            </w:r>
          </w:p>
        </w:tc>
      </w:tr>
      <w:tr w14:paraId="2BC4A76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1AAA305B">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0E0DC57D">
            <w:pPr>
              <w:spacing w:line="360" w:lineRule="exact"/>
              <w:jc w:val="left"/>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415E0941">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项目经理</w:t>
            </w:r>
          </w:p>
        </w:tc>
        <w:tc>
          <w:tcPr>
            <w:tcW w:w="2918" w:type="pct"/>
            <w:tcBorders>
              <w:top w:val="single" w:color="auto" w:sz="4" w:space="0"/>
              <w:left w:val="single" w:color="auto" w:sz="4" w:space="0"/>
              <w:bottom w:val="single" w:color="auto" w:sz="4" w:space="0"/>
              <w:right w:val="single" w:color="auto" w:sz="4" w:space="0"/>
            </w:tcBorders>
            <w:vAlign w:val="center"/>
          </w:tcPr>
          <w:p w14:paraId="4F95C8F8">
            <w:pPr>
              <w:widowControl/>
              <w:spacing w:line="360" w:lineRule="exact"/>
              <w:ind w:firstLine="420" w:firstLineChars="200"/>
              <w:jc w:val="left"/>
              <w:rPr>
                <w:rFonts w:hint="eastAsia" w:ascii="黑体" w:hAnsi="黑体" w:eastAsia="黑体"/>
                <w:szCs w:val="21"/>
                <w:highlight w:val="none"/>
              </w:rPr>
            </w:pPr>
            <w:r>
              <w:rPr>
                <w:rFonts w:hint="eastAsia" w:asciiTheme="minorEastAsia" w:hAnsiTheme="minorEastAsia" w:eastAsiaTheme="minorEastAsia"/>
                <w:szCs w:val="21"/>
                <w:highlight w:val="none"/>
              </w:rPr>
              <w:t>拟派项目经理须具有现注册在投标人单位的有效的“机电工程”专业</w:t>
            </w:r>
            <w:r>
              <w:rPr>
                <w:rFonts w:hint="eastAsia" w:ascii="黑体" w:hAnsi="黑体" w:eastAsia="黑体"/>
                <w:szCs w:val="21"/>
                <w:highlight w:val="none"/>
              </w:rPr>
              <w:t>一级建造师注册证书，且无在建工程</w:t>
            </w:r>
            <w:r>
              <w:rPr>
                <w:rFonts w:hint="eastAsia" w:asciiTheme="minorEastAsia" w:hAnsiTheme="minorEastAsia" w:eastAsiaTheme="minorEastAsia"/>
                <w:szCs w:val="21"/>
                <w:highlight w:val="none"/>
              </w:rPr>
              <w:t>；</w:t>
            </w:r>
            <w:r>
              <w:rPr>
                <w:rFonts w:hint="eastAsia" w:asciiTheme="minorEastAsia" w:hAnsiTheme="minorEastAsia" w:eastAsiaTheme="minorEastAsia"/>
                <w:color w:val="333333"/>
                <w:szCs w:val="21"/>
                <w:highlight w:val="none"/>
              </w:rPr>
              <w:t>具有省级住房和城乡建设行政主管部门颁发的《安全生产考核合格证书》（B类，单位名称与投标人名称一致）。</w:t>
            </w:r>
          </w:p>
          <w:p w14:paraId="404BC170">
            <w:pPr>
              <w:widowControl/>
              <w:spacing w:line="360" w:lineRule="exact"/>
              <w:ind w:firstLine="210" w:firstLineChars="100"/>
              <w:jc w:val="left"/>
              <w:rPr>
                <w:color w:val="333333"/>
                <w:szCs w:val="21"/>
                <w:highlight w:val="none"/>
                <w:shd w:val="clear" w:color="auto" w:fill="FFFFFF"/>
              </w:rPr>
            </w:pPr>
            <w:r>
              <w:rPr>
                <w:rFonts w:hint="eastAsia" w:ascii="黑体" w:hAnsi="黑体" w:eastAsia="黑体"/>
                <w:szCs w:val="21"/>
                <w:highlight w:val="none"/>
              </w:rPr>
              <w:t>标书内附：</w:t>
            </w:r>
          </w:p>
          <w:p w14:paraId="3548BC61">
            <w:pPr>
              <w:pStyle w:val="17"/>
              <w:spacing w:line="360" w:lineRule="exact"/>
              <w:ind w:firstLine="420" w:firstLineChars="200"/>
              <w:rPr>
                <w:rFonts w:hint="eastAsia" w:ascii="宋体" w:hAnsi="宋体" w:cs="宋体"/>
                <w:szCs w:val="21"/>
                <w:highlight w:val="none"/>
                <w:lang w:val="zh-CN"/>
              </w:rPr>
            </w:pPr>
            <w:r>
              <w:rPr>
                <w:rFonts w:ascii="宋体" w:hAnsi="宋体"/>
                <w:szCs w:val="21"/>
                <w:highlight w:val="none"/>
              </w:rPr>
              <w:t>（</w:t>
            </w:r>
            <w:r>
              <w:rPr>
                <w:rFonts w:hint="eastAsia" w:ascii="宋体" w:hAnsi="宋体"/>
                <w:szCs w:val="21"/>
                <w:highlight w:val="none"/>
              </w:rPr>
              <w:t>1）有效的</w:t>
            </w:r>
            <w:r>
              <w:rPr>
                <w:rFonts w:hint="eastAsia" w:ascii="黑体" w:hAnsi="黑体" w:eastAsia="黑体" w:cs="宋体"/>
                <w:szCs w:val="21"/>
                <w:highlight w:val="none"/>
                <w:lang w:val="zh-CN"/>
              </w:rPr>
              <w:t>建造师电子证书</w:t>
            </w:r>
            <w:r>
              <w:rPr>
                <w:rFonts w:hint="eastAsia" w:ascii="宋体" w:hAnsi="宋体" w:cs="宋体"/>
                <w:szCs w:val="21"/>
                <w:highlight w:val="none"/>
                <w:lang w:val="zh-CN"/>
              </w:rPr>
              <w:t>加盖公章的扫描件；</w:t>
            </w:r>
          </w:p>
          <w:p w14:paraId="426FB526">
            <w:pPr>
              <w:pStyle w:val="17"/>
              <w:spacing w:line="360" w:lineRule="exact"/>
              <w:ind w:firstLine="420" w:firstLineChars="200"/>
              <w:rPr>
                <w:rFonts w:hint="eastAsia" w:ascii="宋体" w:hAnsi="宋体" w:cs="宋体"/>
                <w:szCs w:val="21"/>
                <w:highlight w:val="none"/>
                <w:lang w:val="zh-CN"/>
              </w:rPr>
            </w:pPr>
            <w:r>
              <w:rPr>
                <w:rFonts w:ascii="宋体" w:hAnsi="宋体"/>
                <w:szCs w:val="21"/>
                <w:highlight w:val="none"/>
              </w:rPr>
              <w:t>（</w:t>
            </w:r>
            <w:r>
              <w:rPr>
                <w:rFonts w:hint="eastAsia" w:ascii="宋体" w:hAnsi="宋体"/>
                <w:szCs w:val="21"/>
                <w:highlight w:val="none"/>
              </w:rPr>
              <w:t>2）</w:t>
            </w:r>
            <w:r>
              <w:rPr>
                <w:rFonts w:hint="eastAsia" w:ascii="宋体" w:hAnsi="宋体" w:cs="宋体"/>
                <w:szCs w:val="21"/>
                <w:highlight w:val="none"/>
                <w:lang w:val="zh-CN"/>
              </w:rPr>
              <w:t>有效的</w:t>
            </w:r>
            <w:r>
              <w:rPr>
                <w:rFonts w:hint="eastAsia" w:ascii="黑体" w:hAnsi="黑体" w:eastAsia="黑体" w:cs="宋体"/>
                <w:szCs w:val="21"/>
                <w:highlight w:val="none"/>
                <w:lang w:val="zh-CN"/>
              </w:rPr>
              <w:t>安全生产考核合格证书</w:t>
            </w:r>
            <w:r>
              <w:rPr>
                <w:rFonts w:hint="eastAsia" w:ascii="宋体" w:hAnsi="宋体" w:cs="宋体"/>
                <w:szCs w:val="21"/>
                <w:highlight w:val="none"/>
                <w:lang w:val="zh-CN"/>
              </w:rPr>
              <w:t>加盖公章的扫描件；</w:t>
            </w:r>
          </w:p>
          <w:p w14:paraId="52853976">
            <w:pPr>
              <w:pStyle w:val="17"/>
              <w:spacing w:line="360" w:lineRule="exact"/>
              <w:ind w:firstLine="420" w:firstLineChars="200"/>
              <w:rPr>
                <w:rFonts w:hint="eastAsia" w:ascii="宋体" w:hAnsi="宋体" w:cs="宋体"/>
                <w:szCs w:val="21"/>
                <w:highlight w:val="none"/>
                <w:lang w:val="zh-CN"/>
              </w:rPr>
            </w:pPr>
            <w:r>
              <w:rPr>
                <w:rFonts w:ascii="宋体" w:hAnsi="宋体" w:cs="宋体"/>
                <w:szCs w:val="21"/>
                <w:highlight w:val="none"/>
                <w:lang w:val="zh-CN"/>
              </w:rPr>
              <w:t>（3</w:t>
            </w:r>
            <w:r>
              <w:rPr>
                <w:rFonts w:hint="eastAsia" w:ascii="宋体" w:hAnsi="宋体" w:cs="宋体"/>
                <w:szCs w:val="21"/>
                <w:highlight w:val="none"/>
                <w:lang w:val="zh-CN"/>
              </w:rPr>
              <w:t>）</w:t>
            </w:r>
            <w:r>
              <w:rPr>
                <w:rFonts w:hint="eastAsia" w:ascii="黑体" w:hAnsi="黑体" w:eastAsia="黑体" w:cs="宋体"/>
                <w:szCs w:val="21"/>
                <w:highlight w:val="none"/>
              </w:rPr>
              <w:t>2</w:t>
            </w:r>
            <w:r>
              <w:rPr>
                <w:rFonts w:ascii="黑体" w:hAnsi="黑体" w:eastAsia="黑体" w:cs="宋体"/>
                <w:szCs w:val="21"/>
                <w:highlight w:val="none"/>
              </w:rPr>
              <w:t>02</w:t>
            </w:r>
            <w:r>
              <w:rPr>
                <w:rFonts w:hint="eastAsia" w:ascii="黑体" w:hAnsi="黑体" w:eastAsia="黑体" w:cs="宋体"/>
                <w:szCs w:val="21"/>
                <w:highlight w:val="none"/>
              </w:rPr>
              <w:t>6年6月1日至投标截止时间</w:t>
            </w:r>
            <w:r>
              <w:rPr>
                <w:rFonts w:hint="eastAsia" w:ascii="宋体" w:hAnsi="宋体" w:cs="宋体"/>
                <w:szCs w:val="21"/>
                <w:highlight w:val="none"/>
              </w:rPr>
              <w:t>任意一个月投标人为其缴纳社保参保证明材料</w:t>
            </w:r>
            <w:r>
              <w:rPr>
                <w:rFonts w:hint="eastAsia" w:ascii="宋体" w:hAnsi="宋体"/>
                <w:szCs w:val="21"/>
                <w:highlight w:val="none"/>
                <w:lang w:val="zh-CN"/>
              </w:rPr>
              <w:t>加盖公章的</w:t>
            </w:r>
            <w:r>
              <w:rPr>
                <w:rFonts w:hint="eastAsia" w:ascii="宋体" w:hAnsi="宋体"/>
                <w:szCs w:val="21"/>
                <w:highlight w:val="none"/>
              </w:rPr>
              <w:t>扫描件</w:t>
            </w:r>
            <w:r>
              <w:rPr>
                <w:rFonts w:hint="eastAsia" w:ascii="宋体" w:hAnsi="宋体"/>
                <w:color w:val="333333"/>
                <w:szCs w:val="21"/>
                <w:highlight w:val="none"/>
                <w:shd w:val="clear" w:color="auto" w:fill="FFFFFF"/>
              </w:rPr>
              <w:t>（</w:t>
            </w:r>
            <w:r>
              <w:rPr>
                <w:rFonts w:hint="eastAsia" w:ascii="黑体" w:hAnsi="黑体" w:eastAsia="黑体"/>
                <w:color w:val="333333"/>
                <w:szCs w:val="21"/>
                <w:highlight w:val="none"/>
                <w:shd w:val="clear" w:color="auto" w:fill="FFFFFF"/>
              </w:rPr>
              <w:t>以社保官网查询为准</w:t>
            </w:r>
            <w:r>
              <w:rPr>
                <w:rFonts w:hint="eastAsia" w:ascii="宋体" w:hAnsi="宋体"/>
                <w:color w:val="333333"/>
                <w:szCs w:val="21"/>
                <w:highlight w:val="none"/>
                <w:shd w:val="clear" w:color="auto" w:fill="FFFFFF"/>
              </w:rPr>
              <w:t>）</w:t>
            </w:r>
            <w:r>
              <w:rPr>
                <w:rFonts w:hint="eastAsia" w:ascii="宋体" w:hAnsi="宋体" w:cs="宋体"/>
                <w:szCs w:val="21"/>
                <w:highlight w:val="none"/>
                <w:lang w:val="zh-CN"/>
              </w:rPr>
              <w:t>；</w:t>
            </w:r>
          </w:p>
          <w:p w14:paraId="5BFA48B8">
            <w:pPr>
              <w:pStyle w:val="17"/>
              <w:spacing w:line="360" w:lineRule="exact"/>
              <w:ind w:firstLine="420" w:firstLineChars="200"/>
              <w:rPr>
                <w:rFonts w:hint="eastAsia" w:ascii="宋体" w:hAnsi="宋体"/>
                <w:szCs w:val="21"/>
                <w:highlight w:val="none"/>
              </w:rPr>
            </w:pPr>
            <w:r>
              <w:rPr>
                <w:rFonts w:ascii="宋体" w:hAnsi="宋体" w:cs="宋体"/>
                <w:szCs w:val="21"/>
                <w:highlight w:val="none"/>
                <w:lang w:val="zh-CN"/>
              </w:rPr>
              <w:t>（4</w:t>
            </w:r>
            <w:r>
              <w:rPr>
                <w:rFonts w:hint="eastAsia" w:ascii="宋体" w:hAnsi="宋体" w:cs="宋体"/>
                <w:szCs w:val="21"/>
                <w:highlight w:val="none"/>
                <w:lang w:val="zh-CN"/>
              </w:rPr>
              <w:t>）项目经理</w:t>
            </w:r>
            <w:r>
              <w:rPr>
                <w:rFonts w:hint="eastAsia" w:ascii="宋体" w:hAnsi="宋体"/>
                <w:szCs w:val="21"/>
                <w:highlight w:val="none"/>
              </w:rPr>
              <w:t>签字并加盖</w:t>
            </w:r>
            <w:r>
              <w:rPr>
                <w:rFonts w:hint="eastAsia" w:ascii="宋体" w:hAnsi="宋体" w:cs="宋体"/>
                <w:szCs w:val="21"/>
                <w:highlight w:val="none"/>
              </w:rPr>
              <w:t>投标单位</w:t>
            </w:r>
            <w:r>
              <w:rPr>
                <w:rFonts w:hint="eastAsia" w:ascii="宋体" w:hAnsi="宋体"/>
                <w:szCs w:val="21"/>
                <w:highlight w:val="none"/>
              </w:rPr>
              <w:t>公章的</w:t>
            </w:r>
            <w:r>
              <w:rPr>
                <w:rFonts w:hint="eastAsia" w:ascii="黑体" w:hAnsi="黑体" w:eastAsia="黑体" w:cs="宋体"/>
                <w:szCs w:val="21"/>
                <w:highlight w:val="none"/>
                <w:lang w:val="zh-CN"/>
              </w:rPr>
              <w:t>无在建</w:t>
            </w:r>
            <w:r>
              <w:rPr>
                <w:rFonts w:hint="eastAsia" w:ascii="黑体" w:hAnsi="黑体" w:eastAsia="黑体"/>
                <w:szCs w:val="21"/>
                <w:highlight w:val="none"/>
              </w:rPr>
              <w:t>工程承诺书</w:t>
            </w:r>
            <w:r>
              <w:rPr>
                <w:rFonts w:hint="eastAsia" w:ascii="宋体" w:hAnsi="宋体"/>
                <w:szCs w:val="21"/>
                <w:highlight w:val="none"/>
              </w:rPr>
              <w:t>扫描件。</w:t>
            </w:r>
          </w:p>
        </w:tc>
      </w:tr>
      <w:tr w14:paraId="15BF9F6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3981" w:hRule="atLeast"/>
        </w:trPr>
        <w:tc>
          <w:tcPr>
            <w:tcW w:w="464" w:type="pct"/>
            <w:vMerge w:val="continue"/>
            <w:tcBorders>
              <w:top w:val="single" w:color="auto" w:sz="4" w:space="0"/>
              <w:left w:val="single" w:color="auto" w:sz="4" w:space="0"/>
              <w:bottom w:val="single" w:color="auto" w:sz="4" w:space="0"/>
              <w:right w:val="single" w:color="auto" w:sz="4" w:space="0"/>
            </w:tcBorders>
            <w:vAlign w:val="center"/>
          </w:tcPr>
          <w:p w14:paraId="32576EEA">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5F46E5F1">
            <w:pPr>
              <w:spacing w:line="360" w:lineRule="exact"/>
              <w:jc w:val="left"/>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3DF02DB6">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其他要求</w:t>
            </w:r>
          </w:p>
        </w:tc>
        <w:tc>
          <w:tcPr>
            <w:tcW w:w="2918" w:type="pct"/>
            <w:tcBorders>
              <w:top w:val="single" w:color="auto" w:sz="4" w:space="0"/>
              <w:left w:val="single" w:color="auto" w:sz="4" w:space="0"/>
              <w:bottom w:val="single" w:color="auto" w:sz="4" w:space="0"/>
              <w:right w:val="single" w:color="auto" w:sz="4" w:space="0"/>
            </w:tcBorders>
            <w:vAlign w:val="center"/>
          </w:tcPr>
          <w:p w14:paraId="42166CD1">
            <w:pPr>
              <w:spacing w:line="360" w:lineRule="exact"/>
              <w:ind w:firstLine="420" w:firstLineChars="200"/>
              <w:jc w:val="left"/>
              <w:rPr>
                <w:rFonts w:hint="eastAsia" w:ascii="黑体" w:hAnsi="黑体" w:eastAsia="黑体"/>
                <w:color w:val="000000"/>
                <w:kern w:val="44"/>
                <w:szCs w:val="21"/>
                <w:highlight w:val="none"/>
              </w:rPr>
            </w:pPr>
            <w:r>
              <w:rPr>
                <w:rFonts w:hint="eastAsia" w:ascii="黑体" w:hAnsi="黑体" w:eastAsia="黑体"/>
                <w:szCs w:val="21"/>
                <w:highlight w:val="none"/>
              </w:rPr>
              <w:t>其他要求（</w:t>
            </w:r>
            <w:r>
              <w:rPr>
                <w:rFonts w:hint="eastAsia" w:ascii="黑体" w:hAnsi="黑体" w:eastAsia="黑体"/>
                <w:color w:val="000000"/>
                <w:kern w:val="44"/>
                <w:szCs w:val="21"/>
                <w:highlight w:val="none"/>
              </w:rPr>
              <w:t>主要项目管理人员最低要求）：</w:t>
            </w:r>
          </w:p>
          <w:p w14:paraId="715975A0">
            <w:pPr>
              <w:adjustRightInd w:val="0"/>
              <w:snapToGrid w:val="0"/>
              <w:spacing w:line="3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（1）技术负责人：1人，投标人自有人员，具有电力相关专业中级及以上技术职称；</w:t>
            </w:r>
          </w:p>
          <w:p w14:paraId="100263F4">
            <w:pPr>
              <w:adjustRightInd w:val="0"/>
              <w:snapToGrid w:val="0"/>
              <w:spacing w:line="360" w:lineRule="exact"/>
              <w:ind w:firstLine="420" w:firstLineChars="200"/>
              <w:rPr>
                <w:rFonts w:hint="eastAsia" w:ascii="宋体" w:hAnsi="宋体"/>
                <w:color w:val="000000"/>
                <w:szCs w:val="21"/>
                <w:highlight w:val="none"/>
              </w:rPr>
            </w:pPr>
            <w:r>
              <w:rPr>
                <w:rFonts w:ascii="宋体" w:hAnsi="宋体"/>
                <w:color w:val="000000"/>
                <w:szCs w:val="21"/>
                <w:highlight w:val="none"/>
              </w:rPr>
              <w:t>（</w:t>
            </w:r>
            <w:r>
              <w:rPr>
                <w:rFonts w:hint="eastAsia" w:ascii="宋体" w:hAnsi="宋体"/>
                <w:color w:val="000000"/>
                <w:szCs w:val="21"/>
                <w:highlight w:val="none"/>
              </w:rPr>
              <w:t>2）</w:t>
            </w:r>
            <w:r>
              <w:rPr>
                <w:rFonts w:ascii="宋体" w:hAnsi="宋体"/>
                <w:color w:val="000000"/>
                <w:szCs w:val="21"/>
                <w:highlight w:val="none"/>
              </w:rPr>
              <w:t>质检</w:t>
            </w:r>
            <w:r>
              <w:rPr>
                <w:rFonts w:hint="eastAsia" w:ascii="宋体" w:hAnsi="宋体"/>
                <w:color w:val="000000"/>
                <w:szCs w:val="21"/>
                <w:highlight w:val="none"/>
              </w:rPr>
              <w:t>员：1人，投标人自有人员，具有电力相关专业中级及以上技术职称或相关岗位资格证书；</w:t>
            </w:r>
          </w:p>
          <w:p w14:paraId="46C13F9D">
            <w:pPr>
              <w:adjustRightInd w:val="0"/>
              <w:snapToGrid w:val="0"/>
              <w:spacing w:line="360" w:lineRule="exact"/>
              <w:ind w:firstLine="420" w:firstLineChars="200"/>
              <w:rPr>
                <w:rFonts w:hint="eastAsia" w:ascii="宋体" w:hAnsi="宋体"/>
                <w:color w:val="000000"/>
                <w:szCs w:val="21"/>
                <w:highlight w:val="none"/>
              </w:rPr>
            </w:pPr>
            <w:r>
              <w:rPr>
                <w:rFonts w:ascii="宋体" w:hAnsi="宋体"/>
                <w:color w:val="000000"/>
                <w:szCs w:val="21"/>
                <w:highlight w:val="none"/>
              </w:rPr>
              <w:t>（</w:t>
            </w:r>
            <w:r>
              <w:rPr>
                <w:rFonts w:hint="eastAsia" w:ascii="宋体" w:hAnsi="宋体"/>
                <w:color w:val="000000"/>
                <w:szCs w:val="21"/>
                <w:highlight w:val="none"/>
              </w:rPr>
              <w:t>3）</w:t>
            </w:r>
            <w:r>
              <w:rPr>
                <w:rFonts w:ascii="宋体" w:hAnsi="宋体"/>
                <w:color w:val="000000"/>
                <w:szCs w:val="21"/>
                <w:highlight w:val="none"/>
              </w:rPr>
              <w:t>专职安全员：</w:t>
            </w:r>
            <w:r>
              <w:rPr>
                <w:rFonts w:hint="eastAsia" w:ascii="宋体" w:hAnsi="宋体"/>
                <w:color w:val="000000"/>
                <w:szCs w:val="21"/>
                <w:highlight w:val="none"/>
              </w:rPr>
              <w:t>1人，投标人自有人员，</w:t>
            </w:r>
            <w:r>
              <w:rPr>
                <w:rFonts w:ascii="宋体" w:hAnsi="宋体"/>
                <w:color w:val="000000"/>
                <w:szCs w:val="21"/>
                <w:highlight w:val="none"/>
              </w:rPr>
              <w:t>具有建设</w:t>
            </w:r>
            <w:r>
              <w:rPr>
                <w:rFonts w:hint="eastAsia" w:ascii="宋体" w:hAnsi="宋体"/>
                <w:color w:val="000000"/>
                <w:szCs w:val="21"/>
                <w:highlight w:val="none"/>
              </w:rPr>
              <w:t>主管部门</w:t>
            </w:r>
            <w:r>
              <w:rPr>
                <w:rFonts w:ascii="宋体" w:hAnsi="宋体"/>
                <w:color w:val="000000"/>
                <w:szCs w:val="21"/>
                <w:highlight w:val="none"/>
              </w:rPr>
              <w:t>颁发的</w:t>
            </w:r>
            <w:r>
              <w:rPr>
                <w:rFonts w:hint="eastAsia" w:ascii="宋体" w:hAnsi="宋体"/>
                <w:color w:val="000000"/>
                <w:szCs w:val="21"/>
                <w:highlight w:val="none"/>
              </w:rPr>
              <w:t>C类</w:t>
            </w:r>
            <w:r>
              <w:rPr>
                <w:rFonts w:ascii="宋体" w:hAnsi="宋体"/>
                <w:color w:val="000000"/>
                <w:szCs w:val="21"/>
                <w:highlight w:val="none"/>
              </w:rPr>
              <w:t>安全生产考核合格证书。</w:t>
            </w:r>
          </w:p>
          <w:p w14:paraId="1613EEDF">
            <w:pPr>
              <w:spacing w:line="360" w:lineRule="exact"/>
              <w:ind w:firstLine="420" w:firstLineChars="200"/>
              <w:jc w:val="left"/>
              <w:rPr>
                <w:rFonts w:hint="eastAsia" w:ascii="黑体" w:hAnsi="黑体" w:eastAsia="黑体"/>
                <w:color w:val="000000"/>
                <w:highlight w:val="none"/>
              </w:rPr>
            </w:pPr>
            <w:r>
              <w:rPr>
                <w:rFonts w:hint="eastAsia" w:ascii="黑体" w:hAnsi="黑体" w:eastAsia="黑体" w:cs="宋体"/>
                <w:szCs w:val="21"/>
                <w:highlight w:val="none"/>
              </w:rPr>
              <w:t>标书内附：</w:t>
            </w:r>
            <w:r>
              <w:rPr>
                <w:rFonts w:hint="eastAsia" w:ascii="黑体" w:hAnsi="黑体" w:eastAsia="黑体" w:cs="宋体"/>
                <w:szCs w:val="21"/>
                <w:highlight w:val="none"/>
                <w:lang w:val="zh-CN"/>
              </w:rPr>
              <w:t>满足招标文件要求的相应证书</w:t>
            </w:r>
            <w:r>
              <w:rPr>
                <w:rFonts w:hint="eastAsia" w:ascii="黑体" w:hAnsi="黑体" w:eastAsia="黑体"/>
                <w:szCs w:val="21"/>
                <w:highlight w:val="none"/>
                <w:lang w:val="zh-CN"/>
              </w:rPr>
              <w:t>加盖公章的</w:t>
            </w:r>
            <w:r>
              <w:rPr>
                <w:rFonts w:hint="eastAsia" w:ascii="黑体" w:hAnsi="黑体" w:eastAsia="黑体"/>
                <w:szCs w:val="21"/>
                <w:highlight w:val="none"/>
              </w:rPr>
              <w:t>扫描件</w:t>
            </w:r>
            <w:r>
              <w:rPr>
                <w:rFonts w:hint="eastAsia" w:ascii="黑体" w:hAnsi="黑体" w:eastAsia="黑体" w:cs="宋体"/>
                <w:szCs w:val="21"/>
                <w:highlight w:val="none"/>
                <w:lang w:val="zh-CN"/>
              </w:rPr>
              <w:t>；</w:t>
            </w:r>
            <w:r>
              <w:rPr>
                <w:rFonts w:hint="eastAsia" w:ascii="黑体" w:hAnsi="黑体" w:eastAsia="黑体" w:cs="宋体"/>
                <w:szCs w:val="21"/>
                <w:highlight w:val="none"/>
              </w:rPr>
              <w:t>2026年6月1日至投标截止时间任意一个月投标人为其缴纳社保参保证明材料</w:t>
            </w:r>
            <w:r>
              <w:rPr>
                <w:rFonts w:hint="eastAsia" w:ascii="黑体" w:hAnsi="黑体" w:eastAsia="黑体"/>
                <w:szCs w:val="21"/>
                <w:highlight w:val="none"/>
                <w:lang w:val="zh-CN"/>
              </w:rPr>
              <w:t>加盖公章的</w:t>
            </w:r>
            <w:r>
              <w:rPr>
                <w:rFonts w:hint="eastAsia" w:ascii="黑体" w:hAnsi="黑体" w:eastAsia="黑体"/>
                <w:szCs w:val="21"/>
                <w:highlight w:val="none"/>
              </w:rPr>
              <w:t>扫描件</w:t>
            </w:r>
            <w:r>
              <w:rPr>
                <w:rFonts w:hint="eastAsia" w:ascii="黑体" w:hAnsi="黑体" w:eastAsia="黑体"/>
                <w:color w:val="333333"/>
                <w:szCs w:val="21"/>
                <w:highlight w:val="none"/>
                <w:shd w:val="clear" w:color="auto" w:fill="FFFFFF"/>
              </w:rPr>
              <w:t>（以社保官网查询为准）</w:t>
            </w:r>
            <w:r>
              <w:rPr>
                <w:rFonts w:hint="eastAsia" w:ascii="黑体" w:hAnsi="黑体" w:eastAsia="黑体" w:cs="宋体"/>
                <w:szCs w:val="21"/>
                <w:highlight w:val="none"/>
                <w:lang w:val="zh-CN"/>
              </w:rPr>
              <w:t>。</w:t>
            </w:r>
          </w:p>
        </w:tc>
      </w:tr>
      <w:tr w14:paraId="1355AAD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restart"/>
            <w:tcBorders>
              <w:top w:val="single" w:color="auto" w:sz="4" w:space="0"/>
              <w:left w:val="single" w:color="auto" w:sz="4" w:space="0"/>
              <w:bottom w:val="single" w:color="auto" w:sz="4" w:space="0"/>
              <w:right w:val="single" w:color="auto" w:sz="4" w:space="0"/>
            </w:tcBorders>
            <w:vAlign w:val="center"/>
          </w:tcPr>
          <w:p w14:paraId="7353FE33">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2.1.3</w:t>
            </w:r>
          </w:p>
        </w:tc>
        <w:tc>
          <w:tcPr>
            <w:tcW w:w="521" w:type="pct"/>
            <w:vMerge w:val="restart"/>
            <w:tcBorders>
              <w:top w:val="single" w:color="auto" w:sz="4" w:space="0"/>
              <w:left w:val="single" w:color="auto" w:sz="4" w:space="0"/>
              <w:bottom w:val="single" w:color="auto" w:sz="4" w:space="0"/>
              <w:right w:val="single" w:color="auto" w:sz="4" w:space="0"/>
            </w:tcBorders>
            <w:vAlign w:val="center"/>
          </w:tcPr>
          <w:p w14:paraId="784BD00D">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响应性评审标准</w:t>
            </w: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0F7987B9">
            <w:pPr>
              <w:autoSpaceDE w:val="0"/>
              <w:autoSpaceDN w:val="0"/>
              <w:adjustRightInd w:val="0"/>
              <w:spacing w:line="360" w:lineRule="exact"/>
              <w:jc w:val="center"/>
              <w:rPr>
                <w:rFonts w:hint="eastAsia" w:ascii="宋体" w:hAnsi="宋体" w:cs="宋体"/>
                <w:szCs w:val="21"/>
                <w:highlight w:val="none"/>
                <w:lang w:val="zh-CN"/>
              </w:rPr>
            </w:pPr>
            <w:r>
              <w:rPr>
                <w:rFonts w:hint="eastAsia" w:ascii="宋体" w:hAnsi="宋体" w:cs="宋体"/>
                <w:szCs w:val="21"/>
                <w:highlight w:val="none"/>
                <w:lang w:val="zh-CN"/>
              </w:rPr>
              <w:t>投标内容</w:t>
            </w:r>
          </w:p>
        </w:tc>
        <w:tc>
          <w:tcPr>
            <w:tcW w:w="2918" w:type="pct"/>
            <w:tcBorders>
              <w:top w:val="single" w:color="auto" w:sz="4" w:space="0"/>
              <w:left w:val="single" w:color="auto" w:sz="4" w:space="0"/>
              <w:bottom w:val="single" w:color="auto" w:sz="4" w:space="0"/>
              <w:right w:val="single" w:color="auto" w:sz="4" w:space="0"/>
            </w:tcBorders>
            <w:vAlign w:val="center"/>
          </w:tcPr>
          <w:p w14:paraId="44588791">
            <w:pPr>
              <w:autoSpaceDE w:val="0"/>
              <w:autoSpaceDN w:val="0"/>
              <w:adjustRightInd w:val="0"/>
              <w:spacing w:line="360" w:lineRule="exact"/>
              <w:jc w:val="left"/>
              <w:rPr>
                <w:rFonts w:hint="eastAsia" w:ascii="宋体" w:hAnsi="宋体" w:cs="宋体"/>
                <w:szCs w:val="21"/>
                <w:highlight w:val="none"/>
                <w:lang w:val="zh-CN"/>
              </w:rPr>
            </w:pPr>
            <w:r>
              <w:rPr>
                <w:rFonts w:hint="eastAsia" w:ascii="宋体" w:hAnsi="宋体" w:cs="宋体"/>
                <w:szCs w:val="21"/>
                <w:highlight w:val="none"/>
                <w:lang w:val="zh-CN"/>
              </w:rPr>
              <w:t>响应招标文件要求。</w:t>
            </w:r>
          </w:p>
        </w:tc>
      </w:tr>
      <w:tr w14:paraId="48CF091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58876918">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5DD7B501">
            <w:pPr>
              <w:spacing w:line="360" w:lineRule="exact"/>
              <w:jc w:val="center"/>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3747C7CC">
            <w:pPr>
              <w:autoSpaceDE w:val="0"/>
              <w:autoSpaceDN w:val="0"/>
              <w:adjustRightInd w:val="0"/>
              <w:spacing w:line="360" w:lineRule="exact"/>
              <w:jc w:val="center"/>
              <w:rPr>
                <w:rFonts w:hint="eastAsia" w:ascii="宋体" w:hAnsi="宋体" w:cs="宋体"/>
                <w:szCs w:val="21"/>
                <w:highlight w:val="none"/>
                <w:lang w:val="zh-CN"/>
              </w:rPr>
            </w:pPr>
            <w:r>
              <w:rPr>
                <w:rFonts w:hint="eastAsia" w:ascii="宋体" w:hAnsi="宋体" w:cs="宋体"/>
                <w:szCs w:val="21"/>
                <w:highlight w:val="none"/>
                <w:lang w:val="zh-CN"/>
              </w:rPr>
              <w:t>计划工期</w:t>
            </w:r>
          </w:p>
        </w:tc>
        <w:tc>
          <w:tcPr>
            <w:tcW w:w="2918" w:type="pct"/>
            <w:tcBorders>
              <w:top w:val="single" w:color="auto" w:sz="4" w:space="0"/>
              <w:left w:val="single" w:color="auto" w:sz="4" w:space="0"/>
              <w:bottom w:val="single" w:color="auto" w:sz="4" w:space="0"/>
              <w:right w:val="single" w:color="auto" w:sz="4" w:space="0"/>
            </w:tcBorders>
            <w:vAlign w:val="center"/>
          </w:tcPr>
          <w:p w14:paraId="57C8AE2E">
            <w:pPr>
              <w:pStyle w:val="17"/>
              <w:spacing w:line="360" w:lineRule="exact"/>
              <w:rPr>
                <w:rFonts w:hint="eastAsia" w:ascii="宋体" w:hAnsi="宋体" w:cs="宋体"/>
                <w:szCs w:val="21"/>
                <w:highlight w:val="none"/>
                <w:lang w:val="zh-CN"/>
              </w:rPr>
            </w:pPr>
            <w:r>
              <w:rPr>
                <w:rFonts w:ascii="宋体" w:hAnsi="宋体" w:cs="宋体"/>
                <w:szCs w:val="21"/>
                <w:highlight w:val="none"/>
                <w:lang w:val="zh-CN"/>
              </w:rPr>
              <w:t>符合第二章“投标人须知”第</w:t>
            </w:r>
            <w:r>
              <w:rPr>
                <w:rFonts w:hint="eastAsia" w:ascii="宋体" w:hAnsi="宋体" w:cs="宋体"/>
                <w:szCs w:val="21"/>
                <w:highlight w:val="none"/>
                <w:lang w:val="zh-CN"/>
              </w:rPr>
              <w:t>1.3.2</w:t>
            </w:r>
            <w:r>
              <w:rPr>
                <w:rFonts w:ascii="宋体" w:hAnsi="宋体" w:cs="宋体"/>
                <w:szCs w:val="21"/>
                <w:highlight w:val="none"/>
                <w:lang w:val="zh-CN"/>
              </w:rPr>
              <w:t>项规定</w:t>
            </w:r>
            <w:r>
              <w:rPr>
                <w:rFonts w:hint="eastAsia" w:ascii="宋体" w:hAnsi="宋体" w:cs="宋体"/>
                <w:szCs w:val="21"/>
                <w:highlight w:val="none"/>
                <w:lang w:val="zh-CN"/>
              </w:rPr>
              <w:t>。</w:t>
            </w:r>
          </w:p>
        </w:tc>
      </w:tr>
      <w:tr w14:paraId="42D583E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499C3375">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086EFEA0">
            <w:pPr>
              <w:spacing w:line="360" w:lineRule="exact"/>
              <w:jc w:val="center"/>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252B01EA">
            <w:pPr>
              <w:autoSpaceDE w:val="0"/>
              <w:autoSpaceDN w:val="0"/>
              <w:adjustRightInd w:val="0"/>
              <w:spacing w:line="360" w:lineRule="exact"/>
              <w:jc w:val="center"/>
              <w:rPr>
                <w:rFonts w:hint="eastAsia" w:ascii="宋体" w:hAnsi="宋体" w:cs="宋体"/>
                <w:szCs w:val="21"/>
                <w:highlight w:val="none"/>
                <w:lang w:val="zh-CN"/>
              </w:rPr>
            </w:pPr>
            <w:r>
              <w:rPr>
                <w:rFonts w:hint="eastAsia" w:ascii="宋体" w:hAnsi="宋体" w:cs="宋体"/>
                <w:szCs w:val="21"/>
                <w:highlight w:val="none"/>
                <w:lang w:val="zh-CN"/>
              </w:rPr>
              <w:t>质量标准</w:t>
            </w:r>
          </w:p>
        </w:tc>
        <w:tc>
          <w:tcPr>
            <w:tcW w:w="2918" w:type="pct"/>
            <w:tcBorders>
              <w:top w:val="single" w:color="auto" w:sz="4" w:space="0"/>
              <w:left w:val="single" w:color="auto" w:sz="4" w:space="0"/>
              <w:bottom w:val="single" w:color="auto" w:sz="4" w:space="0"/>
              <w:right w:val="single" w:color="auto" w:sz="4" w:space="0"/>
            </w:tcBorders>
            <w:vAlign w:val="center"/>
          </w:tcPr>
          <w:p w14:paraId="7DF533EA">
            <w:pPr>
              <w:autoSpaceDE w:val="0"/>
              <w:autoSpaceDN w:val="0"/>
              <w:adjustRightInd w:val="0"/>
              <w:spacing w:line="360" w:lineRule="exact"/>
              <w:rPr>
                <w:rFonts w:hint="eastAsia" w:ascii="宋体" w:hAnsi="宋体" w:cs="宋体"/>
                <w:szCs w:val="21"/>
                <w:highlight w:val="none"/>
                <w:lang w:val="zh-CN"/>
              </w:rPr>
            </w:pPr>
            <w:r>
              <w:rPr>
                <w:rFonts w:ascii="宋体" w:hAnsi="宋体"/>
                <w:szCs w:val="21"/>
                <w:highlight w:val="none"/>
              </w:rPr>
              <w:t>符合第二章“投标人须知”第1.3.</w:t>
            </w:r>
            <w:r>
              <w:rPr>
                <w:rFonts w:hint="eastAsia" w:ascii="宋体" w:hAnsi="宋体"/>
                <w:szCs w:val="21"/>
                <w:highlight w:val="none"/>
              </w:rPr>
              <w:t>3</w:t>
            </w:r>
            <w:r>
              <w:rPr>
                <w:rFonts w:ascii="宋体" w:hAnsi="宋体"/>
                <w:szCs w:val="21"/>
                <w:highlight w:val="none"/>
              </w:rPr>
              <w:t>项规定</w:t>
            </w:r>
            <w:r>
              <w:rPr>
                <w:rFonts w:hint="eastAsia" w:ascii="宋体" w:hAnsi="宋体"/>
                <w:szCs w:val="21"/>
                <w:highlight w:val="none"/>
              </w:rPr>
              <w:t>。</w:t>
            </w:r>
          </w:p>
        </w:tc>
      </w:tr>
      <w:tr w14:paraId="1F54B35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14322457">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62A8D4E7">
            <w:pPr>
              <w:spacing w:line="360" w:lineRule="exact"/>
              <w:jc w:val="center"/>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01FC7DB6">
            <w:pPr>
              <w:autoSpaceDE w:val="0"/>
              <w:autoSpaceDN w:val="0"/>
              <w:adjustRightInd w:val="0"/>
              <w:spacing w:line="360" w:lineRule="exact"/>
              <w:jc w:val="center"/>
              <w:rPr>
                <w:rFonts w:hint="eastAsia" w:ascii="宋体" w:hAnsi="宋体" w:cs="宋体"/>
                <w:szCs w:val="21"/>
                <w:highlight w:val="none"/>
                <w:lang w:val="zh-CN"/>
              </w:rPr>
            </w:pPr>
            <w:r>
              <w:rPr>
                <w:rFonts w:hint="eastAsia" w:ascii="宋体" w:hAnsi="宋体" w:cs="宋体"/>
                <w:szCs w:val="21"/>
                <w:highlight w:val="none"/>
                <w:lang w:val="zh-CN"/>
              </w:rPr>
              <w:t>投标有效期</w:t>
            </w:r>
          </w:p>
        </w:tc>
        <w:tc>
          <w:tcPr>
            <w:tcW w:w="2918" w:type="pct"/>
            <w:tcBorders>
              <w:top w:val="single" w:color="auto" w:sz="4" w:space="0"/>
              <w:left w:val="single" w:color="auto" w:sz="4" w:space="0"/>
              <w:bottom w:val="single" w:color="auto" w:sz="4" w:space="0"/>
              <w:right w:val="single" w:color="auto" w:sz="4" w:space="0"/>
            </w:tcBorders>
            <w:vAlign w:val="center"/>
          </w:tcPr>
          <w:p w14:paraId="4E6F4FC9">
            <w:pPr>
              <w:autoSpaceDE w:val="0"/>
              <w:autoSpaceDN w:val="0"/>
              <w:adjustRightInd w:val="0"/>
              <w:spacing w:line="360" w:lineRule="exact"/>
              <w:rPr>
                <w:rFonts w:hint="eastAsia" w:ascii="宋体" w:hAnsi="宋体" w:cs="宋体"/>
                <w:szCs w:val="21"/>
                <w:highlight w:val="none"/>
                <w:lang w:val="zh-CN"/>
              </w:rPr>
            </w:pPr>
            <w:r>
              <w:rPr>
                <w:rFonts w:hint="eastAsia" w:ascii="宋体" w:hAnsi="宋体" w:cs="宋体"/>
                <w:szCs w:val="21"/>
                <w:highlight w:val="none"/>
                <w:lang w:val="zh-CN"/>
              </w:rPr>
              <w:t>投标截止时间结束后90天（日历天）。</w:t>
            </w:r>
          </w:p>
        </w:tc>
      </w:tr>
      <w:tr w14:paraId="7351089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0F7172AB">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0E48BDFA">
            <w:pPr>
              <w:spacing w:line="360" w:lineRule="exact"/>
              <w:jc w:val="center"/>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17ACC79C">
            <w:pPr>
              <w:autoSpaceDE w:val="0"/>
              <w:autoSpaceDN w:val="0"/>
              <w:adjustRightInd w:val="0"/>
              <w:spacing w:line="360" w:lineRule="exact"/>
              <w:jc w:val="center"/>
              <w:rPr>
                <w:rFonts w:hint="eastAsia" w:ascii="宋体" w:hAnsi="宋体" w:cs="宋体"/>
                <w:szCs w:val="21"/>
                <w:highlight w:val="none"/>
                <w:lang w:val="zh-CN"/>
              </w:rPr>
            </w:pPr>
            <w:r>
              <w:rPr>
                <w:rFonts w:hint="eastAsia" w:ascii="宋体" w:hAnsi="宋体" w:cs="宋体"/>
                <w:szCs w:val="21"/>
                <w:highlight w:val="none"/>
                <w:lang w:val="zh-CN"/>
              </w:rPr>
              <w:t>投标保证金</w:t>
            </w:r>
          </w:p>
        </w:tc>
        <w:tc>
          <w:tcPr>
            <w:tcW w:w="2918" w:type="pct"/>
            <w:tcBorders>
              <w:top w:val="single" w:color="auto" w:sz="4" w:space="0"/>
              <w:left w:val="single" w:color="auto" w:sz="4" w:space="0"/>
              <w:bottom w:val="single" w:color="auto" w:sz="4" w:space="0"/>
              <w:right w:val="single" w:color="auto" w:sz="4" w:space="0"/>
            </w:tcBorders>
            <w:vAlign w:val="center"/>
          </w:tcPr>
          <w:p w14:paraId="5A727074">
            <w:pPr>
              <w:autoSpaceDE w:val="0"/>
              <w:autoSpaceDN w:val="0"/>
              <w:adjustRightInd w:val="0"/>
              <w:snapToGrid w:val="0"/>
              <w:spacing w:line="360" w:lineRule="exact"/>
              <w:rPr>
                <w:rFonts w:hint="eastAsia" w:ascii="宋体" w:hAnsi="宋体" w:cs="宋体"/>
                <w:szCs w:val="21"/>
                <w:highlight w:val="none"/>
                <w:lang w:val="zh-CN"/>
              </w:rPr>
            </w:pPr>
            <w:r>
              <w:rPr>
                <w:rFonts w:ascii="宋体" w:hAnsi="宋体" w:cs="宋体"/>
                <w:szCs w:val="21"/>
                <w:highlight w:val="none"/>
                <w:lang w:val="zh-CN"/>
              </w:rPr>
              <w:t>符合第二章“投标人须知”第</w:t>
            </w:r>
            <w:r>
              <w:rPr>
                <w:rFonts w:hint="eastAsia" w:ascii="宋体" w:hAnsi="宋体" w:cs="宋体"/>
                <w:szCs w:val="21"/>
                <w:highlight w:val="none"/>
                <w:lang w:val="zh-CN"/>
              </w:rPr>
              <w:t>3.4.1</w:t>
            </w:r>
            <w:r>
              <w:rPr>
                <w:rFonts w:ascii="宋体" w:hAnsi="宋体" w:cs="宋体"/>
                <w:szCs w:val="21"/>
                <w:highlight w:val="none"/>
                <w:lang w:val="zh-CN"/>
              </w:rPr>
              <w:t>项规定</w:t>
            </w:r>
            <w:r>
              <w:rPr>
                <w:rFonts w:hint="eastAsia" w:ascii="宋体" w:hAnsi="宋体" w:cs="宋体"/>
                <w:szCs w:val="21"/>
                <w:highlight w:val="none"/>
                <w:lang w:val="zh-CN"/>
              </w:rPr>
              <w:t>。</w:t>
            </w:r>
          </w:p>
        </w:tc>
      </w:tr>
      <w:tr w14:paraId="34C496B6">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06C3DC75">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22ED262F">
            <w:pPr>
              <w:spacing w:line="360" w:lineRule="exact"/>
              <w:jc w:val="center"/>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7EDE9CF5">
            <w:pPr>
              <w:autoSpaceDE w:val="0"/>
              <w:autoSpaceDN w:val="0"/>
              <w:adjustRightInd w:val="0"/>
              <w:spacing w:line="360" w:lineRule="exact"/>
              <w:jc w:val="center"/>
              <w:rPr>
                <w:rFonts w:hint="eastAsia" w:ascii="宋体" w:hAnsi="宋体" w:cs="宋体"/>
                <w:szCs w:val="21"/>
                <w:highlight w:val="none"/>
                <w:lang w:val="zh-CN"/>
              </w:rPr>
            </w:pPr>
            <w:r>
              <w:rPr>
                <w:rFonts w:hint="eastAsia" w:ascii="宋体" w:hAnsi="宋体" w:cs="宋体"/>
                <w:szCs w:val="21"/>
                <w:highlight w:val="none"/>
                <w:lang w:val="zh-CN"/>
              </w:rPr>
              <w:t>权利义务</w:t>
            </w:r>
          </w:p>
        </w:tc>
        <w:tc>
          <w:tcPr>
            <w:tcW w:w="2918" w:type="pct"/>
            <w:tcBorders>
              <w:top w:val="single" w:color="auto" w:sz="4" w:space="0"/>
              <w:left w:val="single" w:color="auto" w:sz="4" w:space="0"/>
              <w:bottom w:val="single" w:color="auto" w:sz="4" w:space="0"/>
              <w:right w:val="single" w:color="auto" w:sz="4" w:space="0"/>
            </w:tcBorders>
            <w:vAlign w:val="center"/>
          </w:tcPr>
          <w:p w14:paraId="3D385293">
            <w:pPr>
              <w:autoSpaceDE w:val="0"/>
              <w:autoSpaceDN w:val="0"/>
              <w:adjustRightInd w:val="0"/>
              <w:spacing w:line="360" w:lineRule="exact"/>
              <w:rPr>
                <w:rFonts w:hint="eastAsia" w:ascii="宋体" w:hAnsi="宋体" w:cs="宋体"/>
                <w:szCs w:val="21"/>
                <w:highlight w:val="none"/>
                <w:lang w:val="zh-CN"/>
              </w:rPr>
            </w:pPr>
            <w:r>
              <w:rPr>
                <w:rFonts w:hint="eastAsia" w:ascii="宋体" w:hAnsi="宋体" w:cs="宋体"/>
                <w:szCs w:val="21"/>
                <w:highlight w:val="none"/>
                <w:lang w:val="zh-CN"/>
              </w:rPr>
              <w:t>符合第四章“合同条款及格式”相关规定。</w:t>
            </w:r>
          </w:p>
        </w:tc>
      </w:tr>
      <w:tr w14:paraId="3826D2E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74D69EA1">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68907082">
            <w:pPr>
              <w:spacing w:line="360" w:lineRule="exact"/>
              <w:jc w:val="center"/>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08392C55">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联合体</w:t>
            </w:r>
          </w:p>
        </w:tc>
        <w:tc>
          <w:tcPr>
            <w:tcW w:w="2918" w:type="pct"/>
            <w:tcBorders>
              <w:top w:val="single" w:color="auto" w:sz="4" w:space="0"/>
              <w:left w:val="single" w:color="auto" w:sz="4" w:space="0"/>
              <w:bottom w:val="single" w:color="auto" w:sz="4" w:space="0"/>
              <w:right w:val="single" w:color="auto" w:sz="4" w:space="0"/>
            </w:tcBorders>
            <w:vAlign w:val="center"/>
          </w:tcPr>
          <w:p w14:paraId="14666B15">
            <w:pPr>
              <w:spacing w:line="360" w:lineRule="exact"/>
              <w:jc w:val="left"/>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未采用联合体投标</w:t>
            </w:r>
          </w:p>
        </w:tc>
      </w:tr>
      <w:tr w14:paraId="72629E56">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3388" w:hRule="atLeast"/>
        </w:trPr>
        <w:tc>
          <w:tcPr>
            <w:tcW w:w="464" w:type="pct"/>
            <w:vMerge w:val="continue"/>
            <w:tcBorders>
              <w:top w:val="single" w:color="auto" w:sz="4" w:space="0"/>
              <w:left w:val="single" w:color="auto" w:sz="4" w:space="0"/>
              <w:bottom w:val="single" w:color="auto" w:sz="4" w:space="0"/>
              <w:right w:val="single" w:color="auto" w:sz="4" w:space="0"/>
            </w:tcBorders>
            <w:vAlign w:val="center"/>
          </w:tcPr>
          <w:p w14:paraId="663CAA2D">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40596F18">
            <w:pPr>
              <w:spacing w:line="360" w:lineRule="exact"/>
              <w:jc w:val="center"/>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4207B107">
            <w:pPr>
              <w:autoSpaceDE w:val="0"/>
              <w:autoSpaceDN w:val="0"/>
              <w:adjustRightInd w:val="0"/>
              <w:spacing w:line="360" w:lineRule="exact"/>
              <w:jc w:val="center"/>
              <w:rPr>
                <w:rFonts w:hint="eastAsia" w:ascii="宋体" w:hAnsi="宋体" w:cs="宋体"/>
                <w:szCs w:val="21"/>
                <w:highlight w:val="none"/>
                <w:lang w:val="zh-CN"/>
              </w:rPr>
            </w:pPr>
            <w:r>
              <w:rPr>
                <w:rFonts w:hint="eastAsia" w:ascii="宋体" w:hAnsi="宋体" w:cs="宋体"/>
                <w:szCs w:val="21"/>
                <w:highlight w:val="none"/>
                <w:lang w:val="zh-CN"/>
              </w:rPr>
              <w:t>已标价工程量清单</w:t>
            </w:r>
          </w:p>
        </w:tc>
        <w:tc>
          <w:tcPr>
            <w:tcW w:w="2918" w:type="pct"/>
            <w:tcBorders>
              <w:top w:val="single" w:color="auto" w:sz="4" w:space="0"/>
              <w:left w:val="single" w:color="auto" w:sz="4" w:space="0"/>
              <w:bottom w:val="single" w:color="auto" w:sz="4" w:space="0"/>
              <w:right w:val="single" w:color="auto" w:sz="4" w:space="0"/>
            </w:tcBorders>
            <w:vAlign w:val="center"/>
          </w:tcPr>
          <w:p w14:paraId="3C1F340F">
            <w:pPr>
              <w:autoSpaceDE w:val="0"/>
              <w:autoSpaceDN w:val="0"/>
              <w:spacing w:line="360" w:lineRule="exact"/>
              <w:ind w:firstLine="420" w:firstLineChars="200"/>
              <w:contextualSpacing/>
              <w:rPr>
                <w:rFonts w:hint="eastAsia" w:hAnsi="宋体"/>
                <w:szCs w:val="21"/>
                <w:highlight w:val="none"/>
              </w:rPr>
            </w:pPr>
            <w:r>
              <w:rPr>
                <w:rFonts w:hint="eastAsia" w:hAnsi="宋体"/>
                <w:szCs w:val="21"/>
                <w:highlight w:val="none"/>
              </w:rPr>
              <w:t>符合第五章“工程量清单”给出的范围及数量，投标人应按招标工程量清单填报价格。项目编码、项目名称、项目特征、计量单位、工程量、暂列金额必须与招标工程量清单一致，经注册造价工程师签字盖专用章，并符合相关法律法规及招标文件规定（投标报价文件由投标人自行编制的，应当由注册在本企业的注册造价工程师签字并加盖注册造价工程师执业专用章；投标人委托他人编制投标报价文件的，应当委托具有相应资质的工程造价咨询机构编制并在投标文件中附有委托合同及注册造价工程师证书）。</w:t>
            </w:r>
          </w:p>
          <w:p w14:paraId="30772FF1">
            <w:pPr>
              <w:autoSpaceDE w:val="0"/>
              <w:autoSpaceDN w:val="0"/>
              <w:adjustRightInd w:val="0"/>
              <w:spacing w:line="360" w:lineRule="exact"/>
              <w:ind w:firstLine="420" w:firstLineChars="200"/>
              <w:rPr>
                <w:rFonts w:hint="eastAsia" w:ascii="黑体" w:hAnsi="黑体" w:eastAsia="黑体" w:cs="宋体"/>
                <w:szCs w:val="21"/>
                <w:highlight w:val="none"/>
                <w:lang w:val="zh-CN"/>
              </w:rPr>
            </w:pPr>
            <w:r>
              <w:rPr>
                <w:rFonts w:hint="eastAsia" w:ascii="黑体" w:hAnsi="黑体" w:eastAsia="黑体"/>
                <w:szCs w:val="21"/>
                <w:highlight w:val="none"/>
              </w:rPr>
              <w:t>同一单位的注册造价工程师在本招标项目中不能为两个及两个以上的投标单位编制工程量清单报价，</w:t>
            </w:r>
            <w:r>
              <w:rPr>
                <w:rFonts w:hint="eastAsia" w:ascii="黑体" w:hAnsi="黑体" w:eastAsia="黑体" w:cs="宋体"/>
                <w:szCs w:val="21"/>
                <w:highlight w:val="none"/>
                <w:lang w:val="zh-CN"/>
              </w:rPr>
              <w:t>否则其投标均将被否决。</w:t>
            </w:r>
          </w:p>
          <w:p w14:paraId="33DAF7D6">
            <w:pPr>
              <w:autoSpaceDE w:val="0"/>
              <w:autoSpaceDN w:val="0"/>
              <w:adjustRightInd w:val="0"/>
              <w:spacing w:line="360" w:lineRule="exact"/>
              <w:ind w:firstLine="420" w:firstLineChars="200"/>
              <w:rPr>
                <w:rFonts w:hint="eastAsia" w:ascii="宋体" w:hAnsi="宋体" w:cs="宋体"/>
                <w:szCs w:val="21"/>
                <w:highlight w:val="none"/>
                <w:lang w:val="zh-CN"/>
              </w:rPr>
            </w:pPr>
            <w:r>
              <w:rPr>
                <w:rFonts w:hint="eastAsia" w:hAnsi="宋体"/>
                <w:szCs w:val="21"/>
                <w:highlight w:val="none"/>
                <w:lang w:val="zh-CN"/>
              </w:rPr>
              <w:t>投标人通过投标文件制作工具导入工程量清单之后，应按照招标文件要求对工程量清单自行核查后，再上传至投标系统。由于转换、制作等各种原因导致的工程量清单不符合招标文件要求而造成的投标被否决，由投标人自行负责。</w:t>
            </w:r>
          </w:p>
        </w:tc>
      </w:tr>
      <w:tr w14:paraId="275AD93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57" w:hRule="atLeast"/>
        </w:trPr>
        <w:tc>
          <w:tcPr>
            <w:tcW w:w="464" w:type="pct"/>
            <w:vMerge w:val="continue"/>
            <w:tcBorders>
              <w:top w:val="single" w:color="auto" w:sz="4" w:space="0"/>
              <w:left w:val="single" w:color="auto" w:sz="4" w:space="0"/>
              <w:bottom w:val="single" w:color="auto" w:sz="4" w:space="0"/>
              <w:right w:val="single" w:color="auto" w:sz="4" w:space="0"/>
            </w:tcBorders>
            <w:vAlign w:val="center"/>
          </w:tcPr>
          <w:p w14:paraId="4C614207">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4A2ED8E4">
            <w:pPr>
              <w:spacing w:line="360" w:lineRule="exact"/>
              <w:jc w:val="left"/>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02436E36">
            <w:pPr>
              <w:pStyle w:val="33"/>
              <w:tabs>
                <w:tab w:val="clear" w:pos="4153"/>
                <w:tab w:val="clear" w:pos="8306"/>
              </w:tabs>
              <w:autoSpaceDE w:val="0"/>
              <w:autoSpaceDN w:val="0"/>
              <w:adjustRightInd w:val="0"/>
              <w:snapToGrid/>
              <w:spacing w:line="360" w:lineRule="exact"/>
              <w:jc w:val="center"/>
              <w:rPr>
                <w:rFonts w:hint="eastAsia" w:ascii="宋体" w:hAnsi="宋体" w:cs="宋体"/>
                <w:sz w:val="21"/>
                <w:szCs w:val="21"/>
                <w:highlight w:val="none"/>
                <w:lang w:val="zh-CN"/>
              </w:rPr>
            </w:pPr>
            <w:r>
              <w:rPr>
                <w:rFonts w:hint="eastAsia" w:ascii="宋体" w:hAnsi="宋体" w:cs="宋体"/>
                <w:sz w:val="21"/>
                <w:szCs w:val="21"/>
                <w:highlight w:val="none"/>
                <w:lang w:val="zh-CN"/>
              </w:rPr>
              <w:t>技术标准和要求</w:t>
            </w:r>
          </w:p>
        </w:tc>
        <w:tc>
          <w:tcPr>
            <w:tcW w:w="2918" w:type="pct"/>
            <w:tcBorders>
              <w:top w:val="single" w:color="auto" w:sz="4" w:space="0"/>
              <w:left w:val="single" w:color="auto" w:sz="4" w:space="0"/>
              <w:bottom w:val="single" w:color="auto" w:sz="4" w:space="0"/>
              <w:right w:val="single" w:color="auto" w:sz="4" w:space="0"/>
            </w:tcBorders>
            <w:vAlign w:val="center"/>
          </w:tcPr>
          <w:p w14:paraId="6FE7B6C0">
            <w:pPr>
              <w:pStyle w:val="33"/>
              <w:tabs>
                <w:tab w:val="clear" w:pos="4153"/>
                <w:tab w:val="clear" w:pos="8306"/>
              </w:tabs>
              <w:autoSpaceDE w:val="0"/>
              <w:autoSpaceDN w:val="0"/>
              <w:adjustRightInd w:val="0"/>
              <w:snapToGrid/>
              <w:spacing w:line="360" w:lineRule="exact"/>
              <w:jc w:val="both"/>
              <w:rPr>
                <w:rFonts w:hint="eastAsia" w:ascii="宋体" w:hAnsi="宋体" w:cs="宋体"/>
                <w:sz w:val="21"/>
                <w:szCs w:val="21"/>
                <w:highlight w:val="none"/>
                <w:lang w:val="zh-CN"/>
              </w:rPr>
            </w:pPr>
            <w:r>
              <w:rPr>
                <w:rFonts w:hint="eastAsia" w:ascii="宋体" w:hAnsi="宋体" w:cs="宋体"/>
                <w:sz w:val="21"/>
                <w:szCs w:val="21"/>
                <w:highlight w:val="none"/>
                <w:lang w:val="zh-CN"/>
              </w:rPr>
              <w:t>符合第七章“技术标准和要求”规定。</w:t>
            </w:r>
          </w:p>
        </w:tc>
      </w:tr>
      <w:tr w14:paraId="7823EBE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57" w:hRule="atLeast"/>
        </w:trPr>
        <w:tc>
          <w:tcPr>
            <w:tcW w:w="464" w:type="pct"/>
            <w:vMerge w:val="continue"/>
            <w:tcBorders>
              <w:top w:val="single" w:color="auto" w:sz="4" w:space="0"/>
              <w:left w:val="single" w:color="auto" w:sz="4" w:space="0"/>
              <w:bottom w:val="single" w:color="auto" w:sz="4" w:space="0"/>
              <w:right w:val="single" w:color="auto" w:sz="4" w:space="0"/>
            </w:tcBorders>
            <w:vAlign w:val="center"/>
          </w:tcPr>
          <w:p w14:paraId="634CE2E2">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17A8DD42">
            <w:pPr>
              <w:spacing w:line="360" w:lineRule="exact"/>
              <w:jc w:val="left"/>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443CE8B2">
            <w:pPr>
              <w:pStyle w:val="33"/>
              <w:tabs>
                <w:tab w:val="clear" w:pos="4153"/>
                <w:tab w:val="clear" w:pos="8306"/>
              </w:tabs>
              <w:autoSpaceDE w:val="0"/>
              <w:autoSpaceDN w:val="0"/>
              <w:adjustRightInd w:val="0"/>
              <w:snapToGrid/>
              <w:spacing w:line="360" w:lineRule="exact"/>
              <w:jc w:val="center"/>
              <w:rPr>
                <w:rFonts w:hint="eastAsia" w:ascii="宋体" w:hAnsi="宋体" w:cs="宋体"/>
                <w:sz w:val="21"/>
                <w:szCs w:val="21"/>
                <w:highlight w:val="none"/>
                <w:lang w:val="zh-CN"/>
              </w:rPr>
            </w:pPr>
            <w:r>
              <w:rPr>
                <w:rFonts w:hint="eastAsia" w:ascii="宋体" w:hAnsi="宋体" w:cs="宋体"/>
                <w:sz w:val="21"/>
                <w:szCs w:val="21"/>
                <w:highlight w:val="none"/>
                <w:lang w:val="zh-CN"/>
              </w:rPr>
              <w:t>投标报价</w:t>
            </w:r>
          </w:p>
        </w:tc>
        <w:tc>
          <w:tcPr>
            <w:tcW w:w="2918" w:type="pct"/>
            <w:tcBorders>
              <w:top w:val="single" w:color="auto" w:sz="4" w:space="0"/>
              <w:left w:val="single" w:color="auto" w:sz="4" w:space="0"/>
              <w:bottom w:val="single" w:color="auto" w:sz="4" w:space="0"/>
              <w:right w:val="single" w:color="auto" w:sz="4" w:space="0"/>
            </w:tcBorders>
            <w:vAlign w:val="center"/>
          </w:tcPr>
          <w:p w14:paraId="6FB7C596">
            <w:pPr>
              <w:pStyle w:val="33"/>
              <w:tabs>
                <w:tab w:val="clear" w:pos="4153"/>
                <w:tab w:val="clear" w:pos="8306"/>
              </w:tabs>
              <w:autoSpaceDE w:val="0"/>
              <w:autoSpaceDN w:val="0"/>
              <w:adjustRightInd w:val="0"/>
              <w:snapToGrid/>
              <w:spacing w:line="360" w:lineRule="exact"/>
              <w:jc w:val="both"/>
              <w:rPr>
                <w:rFonts w:hint="eastAsia" w:ascii="宋体" w:hAnsi="宋体" w:cs="宋体"/>
                <w:sz w:val="21"/>
                <w:szCs w:val="21"/>
                <w:highlight w:val="none"/>
                <w:lang w:val="zh-CN"/>
              </w:rPr>
            </w:pPr>
            <w:r>
              <w:rPr>
                <w:rFonts w:hint="eastAsia" w:ascii="宋体" w:hAnsi="宋体" w:cs="宋体"/>
                <w:sz w:val="21"/>
                <w:szCs w:val="21"/>
                <w:highlight w:val="none"/>
                <w:lang w:val="zh-CN"/>
              </w:rPr>
              <w:t>不得高于最高投标限价，否则其投标将被否决。</w:t>
            </w:r>
          </w:p>
        </w:tc>
      </w:tr>
      <w:tr w14:paraId="10FBA56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60" w:hRule="atLeast"/>
        </w:trPr>
        <w:tc>
          <w:tcPr>
            <w:tcW w:w="464" w:type="pct"/>
            <w:vMerge w:val="continue"/>
            <w:tcBorders>
              <w:top w:val="single" w:color="auto" w:sz="4" w:space="0"/>
              <w:left w:val="single" w:color="auto" w:sz="4" w:space="0"/>
              <w:bottom w:val="single" w:color="auto" w:sz="4" w:space="0"/>
              <w:right w:val="single" w:color="auto" w:sz="4" w:space="0"/>
            </w:tcBorders>
            <w:vAlign w:val="center"/>
          </w:tcPr>
          <w:p w14:paraId="151EB43F">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55F5A3EF">
            <w:pPr>
              <w:spacing w:line="360" w:lineRule="exact"/>
              <w:jc w:val="left"/>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4B9EF9DD">
            <w:pPr>
              <w:autoSpaceDE w:val="0"/>
              <w:autoSpaceDN w:val="0"/>
              <w:adjustRightInd w:val="0"/>
              <w:spacing w:line="360" w:lineRule="exact"/>
              <w:jc w:val="center"/>
              <w:rPr>
                <w:rFonts w:hint="eastAsia" w:ascii="宋体" w:hAnsi="宋体" w:cs="宋体"/>
                <w:szCs w:val="21"/>
                <w:highlight w:val="none"/>
                <w:lang w:val="zh-CN"/>
              </w:rPr>
            </w:pPr>
            <w:r>
              <w:rPr>
                <w:rFonts w:hint="eastAsia" w:ascii="宋体" w:hAnsi="宋体" w:cs="宋体"/>
                <w:szCs w:val="21"/>
                <w:highlight w:val="none"/>
                <w:lang w:val="zh-CN"/>
              </w:rPr>
              <w:t>其他要求</w:t>
            </w:r>
          </w:p>
        </w:tc>
        <w:tc>
          <w:tcPr>
            <w:tcW w:w="2918" w:type="pct"/>
            <w:tcBorders>
              <w:top w:val="single" w:color="auto" w:sz="4" w:space="0"/>
              <w:left w:val="single" w:color="auto" w:sz="4" w:space="0"/>
              <w:bottom w:val="single" w:color="auto" w:sz="4" w:space="0"/>
              <w:right w:val="single" w:color="auto" w:sz="4" w:space="0"/>
            </w:tcBorders>
            <w:vAlign w:val="center"/>
          </w:tcPr>
          <w:p w14:paraId="2CE47EA9">
            <w:pPr>
              <w:adjustRightInd w:val="0"/>
              <w:snapToGrid w:val="0"/>
              <w:spacing w:line="360" w:lineRule="exact"/>
              <w:rPr>
                <w:rFonts w:ascii="Cambria" w:hAnsi="Cambria" w:cs="Cambria"/>
                <w:highlight w:val="none"/>
              </w:rPr>
            </w:pPr>
            <w:r>
              <w:rPr>
                <w:rFonts w:hint="eastAsia" w:ascii="Cambria" w:hAnsi="Cambria" w:cs="Cambria"/>
                <w:highlight w:val="none"/>
              </w:rPr>
              <w:t>与招标人存在利害关系可能影响招标公正性的法人、其他组织或者个人，不得参加投标。单位负责人为同一人或者存在控股、管理关系的不同单位，不得参加同一标段投标或者未划分标段的同一招标项目投标。违反这两款规定的，相关投标均无效。</w:t>
            </w:r>
          </w:p>
          <w:p w14:paraId="54DBD809">
            <w:pPr>
              <w:autoSpaceDE w:val="0"/>
              <w:autoSpaceDN w:val="0"/>
              <w:adjustRightInd w:val="0"/>
              <w:spacing w:line="360" w:lineRule="exact"/>
              <w:rPr>
                <w:rFonts w:hint="eastAsia" w:ascii="黑体" w:hAnsi="黑体" w:eastAsia="黑体" w:cs="Cambria"/>
                <w:kern w:val="15"/>
                <w:szCs w:val="21"/>
                <w:highlight w:val="none"/>
                <w:lang w:val="zh-CN"/>
              </w:rPr>
            </w:pPr>
            <w:r>
              <w:rPr>
                <w:rFonts w:hint="eastAsia" w:ascii="黑体" w:hAnsi="黑体" w:eastAsia="黑体" w:cs="Cambria"/>
                <w:kern w:val="15"/>
                <w:szCs w:val="21"/>
                <w:highlight w:val="none"/>
                <w:lang w:val="zh-CN"/>
              </w:rPr>
              <w:t>投标文件内附</w:t>
            </w:r>
            <w:r>
              <w:rPr>
                <w:rFonts w:hint="eastAsia" w:ascii="黑体" w:hAnsi="黑体" w:eastAsia="黑体" w:cs="Cambria"/>
                <w:szCs w:val="21"/>
                <w:highlight w:val="none"/>
              </w:rPr>
              <w:t>经法定代表人签字并加盖公章的承诺书。</w:t>
            </w:r>
          </w:p>
        </w:tc>
      </w:tr>
      <w:tr w14:paraId="7AD0723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60" w:hRule="atLeast"/>
        </w:trPr>
        <w:tc>
          <w:tcPr>
            <w:tcW w:w="464" w:type="pct"/>
            <w:vMerge w:val="continue"/>
            <w:tcBorders>
              <w:top w:val="single" w:color="auto" w:sz="4" w:space="0"/>
              <w:left w:val="single" w:color="auto" w:sz="4" w:space="0"/>
              <w:bottom w:val="single" w:color="auto" w:sz="4" w:space="0"/>
              <w:right w:val="single" w:color="auto" w:sz="4" w:space="0"/>
            </w:tcBorders>
            <w:vAlign w:val="center"/>
          </w:tcPr>
          <w:p w14:paraId="2105ACAD">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71BE222A">
            <w:pPr>
              <w:spacing w:line="360" w:lineRule="exact"/>
              <w:jc w:val="left"/>
              <w:rPr>
                <w:rFonts w:hint="eastAsia" w:asciiTheme="minorEastAsia" w:hAnsiTheme="minorEastAsia" w:eastAsiaTheme="minorEastAsia"/>
                <w:color w:val="000000"/>
                <w:highlight w:val="none"/>
              </w:rPr>
            </w:pP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2631A3BD">
            <w:pPr>
              <w:autoSpaceDE w:val="0"/>
              <w:autoSpaceDN w:val="0"/>
              <w:adjustRightInd w:val="0"/>
              <w:spacing w:line="360" w:lineRule="exact"/>
              <w:jc w:val="center"/>
              <w:rPr>
                <w:rFonts w:hint="eastAsia" w:ascii="宋体" w:hAnsi="宋体" w:cs="宋体"/>
                <w:szCs w:val="21"/>
                <w:highlight w:val="none"/>
                <w:lang w:val="zh-CN"/>
              </w:rPr>
            </w:pPr>
            <w:r>
              <w:rPr>
                <w:rFonts w:hint="eastAsia" w:hAnsi="Cambria" w:cs="Cambria"/>
                <w:szCs w:val="21"/>
                <w:highlight w:val="none"/>
                <w:lang w:val="zh-CN"/>
              </w:rPr>
              <w:t>不存在禁止投标的情形</w:t>
            </w:r>
          </w:p>
        </w:tc>
        <w:tc>
          <w:tcPr>
            <w:tcW w:w="2918" w:type="pct"/>
            <w:tcBorders>
              <w:top w:val="single" w:color="auto" w:sz="4" w:space="0"/>
              <w:left w:val="single" w:color="auto" w:sz="4" w:space="0"/>
              <w:bottom w:val="single" w:color="auto" w:sz="4" w:space="0"/>
              <w:right w:val="single" w:color="auto" w:sz="4" w:space="0"/>
            </w:tcBorders>
            <w:vAlign w:val="center"/>
          </w:tcPr>
          <w:p w14:paraId="59635483">
            <w:pPr>
              <w:autoSpaceDE w:val="0"/>
              <w:autoSpaceDN w:val="0"/>
              <w:adjustRightInd w:val="0"/>
              <w:spacing w:line="360" w:lineRule="exact"/>
              <w:rPr>
                <w:rFonts w:hint="eastAsia" w:cs="Cambria" w:asciiTheme="minorEastAsia" w:hAnsiTheme="minorEastAsia" w:eastAsiaTheme="minorEastAsia"/>
                <w:szCs w:val="21"/>
                <w:highlight w:val="none"/>
                <w:lang w:val="zh-CN"/>
              </w:rPr>
            </w:pPr>
            <w:r>
              <w:rPr>
                <w:rFonts w:hint="eastAsia" w:ascii="Cambria" w:hAnsi="Cambria" w:cs="Cambria"/>
                <w:szCs w:val="21"/>
                <w:highlight w:val="none"/>
                <w:lang w:val="zh-CN"/>
              </w:rPr>
              <w:t>不存在</w:t>
            </w:r>
            <w:r>
              <w:rPr>
                <w:rFonts w:hint="eastAsia" w:cs="Cambria" w:asciiTheme="minorEastAsia" w:hAnsiTheme="minorEastAsia" w:eastAsiaTheme="minorEastAsia"/>
                <w:szCs w:val="21"/>
                <w:highlight w:val="none"/>
                <w:lang w:val="zh-CN"/>
              </w:rPr>
              <w:t>第二章“投标人须知”第 1.4.3项规定的任何一种情形</w:t>
            </w:r>
            <w:r>
              <w:rPr>
                <w:rFonts w:hint="eastAsia" w:cs="Cambria" w:asciiTheme="minorEastAsia" w:hAnsiTheme="minorEastAsia" w:eastAsiaTheme="minorEastAsia"/>
                <w:szCs w:val="21"/>
                <w:highlight w:val="none"/>
              </w:rPr>
              <w:t>及招标文件所规定的其他条款</w:t>
            </w:r>
            <w:r>
              <w:rPr>
                <w:rFonts w:hint="eastAsia" w:cs="Cambria" w:asciiTheme="minorEastAsia" w:hAnsiTheme="minorEastAsia" w:eastAsiaTheme="minorEastAsia"/>
                <w:szCs w:val="21"/>
                <w:highlight w:val="none"/>
                <w:lang w:val="zh-CN"/>
              </w:rPr>
              <w:t>。</w:t>
            </w:r>
          </w:p>
          <w:p w14:paraId="52AE1109">
            <w:pPr>
              <w:autoSpaceDE w:val="0"/>
              <w:autoSpaceDN w:val="0"/>
              <w:adjustRightInd w:val="0"/>
              <w:spacing w:line="360" w:lineRule="exact"/>
              <w:rPr>
                <w:rFonts w:hint="eastAsia" w:ascii="黑体" w:hAnsi="黑体" w:eastAsia="黑体" w:cs="Cambria"/>
                <w:szCs w:val="21"/>
                <w:highlight w:val="none"/>
                <w:lang w:val="zh-CN"/>
              </w:rPr>
            </w:pPr>
            <w:r>
              <w:rPr>
                <w:rFonts w:hint="eastAsia" w:ascii="黑体" w:hAnsi="黑体" w:eastAsia="黑体" w:cs="Cambria"/>
                <w:kern w:val="15"/>
                <w:szCs w:val="21"/>
                <w:highlight w:val="none"/>
                <w:lang w:val="zh-CN"/>
              </w:rPr>
              <w:t>投标文件内附</w:t>
            </w:r>
            <w:r>
              <w:rPr>
                <w:rFonts w:hint="eastAsia" w:ascii="黑体" w:hAnsi="黑体" w:eastAsia="黑体" w:cs="Cambria"/>
                <w:szCs w:val="21"/>
                <w:highlight w:val="none"/>
              </w:rPr>
              <w:t>由法定代表人或其委托代理人签字并加盖投标单位公章的承诺书。</w:t>
            </w:r>
          </w:p>
        </w:tc>
      </w:tr>
      <w:tr w14:paraId="30A9A0D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397" w:hRule="atLeast"/>
        </w:trPr>
        <w:tc>
          <w:tcPr>
            <w:tcW w:w="985" w:type="pct"/>
            <w:gridSpan w:val="2"/>
            <w:tcBorders>
              <w:top w:val="single" w:color="auto" w:sz="4" w:space="0"/>
              <w:left w:val="single" w:color="auto" w:sz="4" w:space="0"/>
              <w:bottom w:val="single" w:color="auto" w:sz="4" w:space="0"/>
              <w:right w:val="single" w:color="auto" w:sz="4" w:space="0"/>
            </w:tcBorders>
            <w:vAlign w:val="center"/>
          </w:tcPr>
          <w:p w14:paraId="29BB848C">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条款号</w:t>
            </w: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19D8C867">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条款内容</w:t>
            </w:r>
          </w:p>
        </w:tc>
        <w:tc>
          <w:tcPr>
            <w:tcW w:w="2918" w:type="pct"/>
            <w:tcBorders>
              <w:top w:val="single" w:color="auto" w:sz="4" w:space="0"/>
              <w:left w:val="single" w:color="auto" w:sz="4" w:space="0"/>
              <w:bottom w:val="single" w:color="auto" w:sz="4" w:space="0"/>
              <w:right w:val="single" w:color="auto" w:sz="4" w:space="0"/>
            </w:tcBorders>
            <w:vAlign w:val="center"/>
          </w:tcPr>
          <w:p w14:paraId="2C8CCD38">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编列内容</w:t>
            </w:r>
          </w:p>
        </w:tc>
      </w:tr>
      <w:tr w14:paraId="51BEF0FA">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68" w:hRule="atLeast"/>
        </w:trPr>
        <w:tc>
          <w:tcPr>
            <w:tcW w:w="985" w:type="pct"/>
            <w:gridSpan w:val="2"/>
            <w:tcBorders>
              <w:top w:val="single" w:color="auto" w:sz="4" w:space="0"/>
              <w:left w:val="single" w:color="auto" w:sz="4" w:space="0"/>
              <w:bottom w:val="single" w:color="auto" w:sz="4" w:space="0"/>
              <w:right w:val="single" w:color="auto" w:sz="4" w:space="0"/>
            </w:tcBorders>
            <w:vAlign w:val="center"/>
          </w:tcPr>
          <w:p w14:paraId="768CBE48">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2.2.1</w:t>
            </w: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106CD05D">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分值构成</w:t>
            </w:r>
            <w:r>
              <w:rPr>
                <w:rFonts w:asciiTheme="minorEastAsia" w:hAnsiTheme="minorEastAsia" w:eastAsiaTheme="minorEastAsia"/>
                <w:color w:val="000000"/>
                <w:highlight w:val="none"/>
              </w:rPr>
              <w:br w:type="textWrapping"/>
            </w:r>
            <w:r>
              <w:rPr>
                <w:rFonts w:asciiTheme="minorEastAsia" w:hAnsiTheme="minorEastAsia" w:eastAsiaTheme="minorEastAsia"/>
                <w:color w:val="000000"/>
                <w:highlight w:val="none"/>
              </w:rPr>
              <w:t>（总分100分）</w:t>
            </w:r>
          </w:p>
        </w:tc>
        <w:tc>
          <w:tcPr>
            <w:tcW w:w="2918" w:type="pct"/>
            <w:tcBorders>
              <w:top w:val="single" w:color="auto" w:sz="4" w:space="0"/>
              <w:left w:val="single" w:color="auto" w:sz="4" w:space="0"/>
              <w:bottom w:val="single" w:color="auto" w:sz="4" w:space="0"/>
              <w:right w:val="single" w:color="auto" w:sz="4" w:space="0"/>
            </w:tcBorders>
            <w:vAlign w:val="center"/>
          </w:tcPr>
          <w:p w14:paraId="39822B2B">
            <w:pPr>
              <w:spacing w:line="360" w:lineRule="exact"/>
              <w:jc w:val="left"/>
              <w:rPr>
                <w:rFonts w:hint="eastAsia" w:ascii="黑体" w:hAnsi="黑体" w:eastAsia="黑体"/>
                <w:color w:val="000000"/>
                <w:highlight w:val="none"/>
              </w:rPr>
            </w:pPr>
            <w:r>
              <w:rPr>
                <w:rFonts w:ascii="黑体" w:hAnsi="黑体" w:eastAsia="黑体"/>
                <w:color w:val="000000"/>
                <w:highlight w:val="none"/>
              </w:rPr>
              <w:t>施工组织设计：30分</w:t>
            </w:r>
            <w:r>
              <w:rPr>
                <w:rFonts w:ascii="黑体" w:hAnsi="黑体" w:eastAsia="黑体"/>
                <w:color w:val="000000"/>
                <w:highlight w:val="none"/>
              </w:rPr>
              <w:br w:type="textWrapping"/>
            </w:r>
            <w:r>
              <w:rPr>
                <w:rFonts w:ascii="黑体" w:hAnsi="黑体" w:eastAsia="黑体"/>
                <w:color w:val="000000"/>
                <w:highlight w:val="none"/>
              </w:rPr>
              <w:t>项目管理机构：10分</w:t>
            </w:r>
            <w:r>
              <w:rPr>
                <w:rFonts w:ascii="黑体" w:hAnsi="黑体" w:eastAsia="黑体"/>
                <w:color w:val="000000"/>
                <w:highlight w:val="none"/>
              </w:rPr>
              <w:br w:type="textWrapping"/>
            </w:r>
            <w:r>
              <w:rPr>
                <w:rFonts w:ascii="黑体" w:hAnsi="黑体" w:eastAsia="黑体"/>
                <w:color w:val="000000"/>
                <w:highlight w:val="none"/>
              </w:rPr>
              <w:t>投标报价：</w:t>
            </w:r>
            <w:r>
              <w:rPr>
                <w:rFonts w:hint="eastAsia" w:ascii="黑体" w:hAnsi="黑体" w:eastAsia="黑体"/>
                <w:color w:val="000000"/>
                <w:highlight w:val="none"/>
              </w:rPr>
              <w:t>5</w:t>
            </w:r>
            <w:r>
              <w:rPr>
                <w:rFonts w:ascii="黑体" w:hAnsi="黑体" w:eastAsia="黑体"/>
                <w:color w:val="000000"/>
                <w:highlight w:val="none"/>
              </w:rPr>
              <w:t>0分</w:t>
            </w:r>
            <w:r>
              <w:rPr>
                <w:rFonts w:ascii="黑体" w:hAnsi="黑体" w:eastAsia="黑体"/>
                <w:color w:val="000000"/>
                <w:highlight w:val="none"/>
              </w:rPr>
              <w:br w:type="textWrapping"/>
            </w:r>
            <w:r>
              <w:rPr>
                <w:rFonts w:ascii="黑体" w:hAnsi="黑体" w:eastAsia="黑体"/>
                <w:color w:val="000000"/>
                <w:highlight w:val="none"/>
              </w:rPr>
              <w:t>其他评分因素：10分</w:t>
            </w:r>
          </w:p>
        </w:tc>
      </w:tr>
      <w:tr w14:paraId="78D46B2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40" w:hRule="atLeast"/>
        </w:trPr>
        <w:tc>
          <w:tcPr>
            <w:tcW w:w="985" w:type="pct"/>
            <w:gridSpan w:val="2"/>
            <w:tcBorders>
              <w:top w:val="single" w:color="auto" w:sz="4" w:space="0"/>
              <w:left w:val="single" w:color="auto" w:sz="4" w:space="0"/>
              <w:bottom w:val="single" w:color="auto" w:sz="4" w:space="0"/>
              <w:right w:val="single" w:color="auto" w:sz="4" w:space="0"/>
            </w:tcBorders>
            <w:vAlign w:val="center"/>
          </w:tcPr>
          <w:p w14:paraId="252F974A">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2.2.2</w:t>
            </w: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2DCBBE03">
            <w:pPr>
              <w:spacing w:line="360" w:lineRule="exact"/>
              <w:jc w:val="center"/>
              <w:rPr>
                <w:rFonts w:hint="eastAsia" w:asciiTheme="minorEastAsia" w:hAnsiTheme="minorEastAsia" w:eastAsiaTheme="minorEastAsia"/>
                <w:color w:val="000000"/>
                <w:highlight w:val="none"/>
              </w:rPr>
            </w:pPr>
            <w:r>
              <w:rPr>
                <w:rFonts w:hint="eastAsia" w:asciiTheme="minorEastAsia" w:hAnsiTheme="minorEastAsia" w:eastAsiaTheme="minorEastAsia"/>
                <w:color w:val="000000"/>
                <w:highlight w:val="none"/>
              </w:rPr>
              <w:t>评标</w:t>
            </w:r>
            <w:r>
              <w:rPr>
                <w:rFonts w:asciiTheme="minorEastAsia" w:hAnsiTheme="minorEastAsia" w:eastAsiaTheme="minorEastAsia"/>
                <w:color w:val="000000"/>
                <w:highlight w:val="none"/>
              </w:rPr>
              <w:t>基准价</w:t>
            </w:r>
          </w:p>
          <w:p w14:paraId="7C45418B">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计算方法</w:t>
            </w:r>
          </w:p>
        </w:tc>
        <w:tc>
          <w:tcPr>
            <w:tcW w:w="2918" w:type="pct"/>
            <w:tcBorders>
              <w:top w:val="single" w:color="auto" w:sz="4" w:space="0"/>
              <w:left w:val="single" w:color="auto" w:sz="4" w:space="0"/>
              <w:bottom w:val="single" w:color="auto" w:sz="4" w:space="0"/>
              <w:right w:val="single" w:color="auto" w:sz="4" w:space="0"/>
            </w:tcBorders>
            <w:vAlign w:val="center"/>
          </w:tcPr>
          <w:p w14:paraId="07F06424">
            <w:pPr>
              <w:pStyle w:val="97"/>
              <w:adjustRightInd w:val="0"/>
              <w:snapToGrid w:val="0"/>
              <w:spacing w:line="360" w:lineRule="exact"/>
              <w:ind w:firstLine="210" w:firstLineChars="100"/>
              <w:jc w:val="left"/>
              <w:textAlignment w:val="baseline"/>
              <w:rPr>
                <w:rFonts w:hint="eastAsia" w:ascii="宋体" w:hAnsi="宋体"/>
                <w:szCs w:val="21"/>
                <w:highlight w:val="none"/>
              </w:rPr>
            </w:pPr>
            <w:r>
              <w:rPr>
                <w:rFonts w:hint="eastAsia" w:ascii="宋体" w:hAnsi="宋体"/>
                <w:szCs w:val="21"/>
                <w:highlight w:val="none"/>
              </w:rPr>
              <w:t>评标基准价的计算：</w:t>
            </w:r>
          </w:p>
          <w:p w14:paraId="2C3E6942">
            <w:pPr>
              <w:spacing w:line="360" w:lineRule="exact"/>
              <w:ind w:firstLine="210" w:firstLineChars="100"/>
              <w:rPr>
                <w:highlight w:val="none"/>
              </w:rPr>
            </w:pPr>
            <w:r>
              <w:rPr>
                <w:highlight w:val="none"/>
              </w:rPr>
              <w:t>通过初步评审合格的有效投标报价</w:t>
            </w:r>
            <w:r>
              <w:rPr>
                <w:rFonts w:hint="eastAsia" w:ascii="黑体" w:hAnsi="黑体" w:eastAsia="黑体"/>
                <w:highlight w:val="none"/>
              </w:rPr>
              <w:t>大于</w:t>
            </w:r>
            <w:r>
              <w:rPr>
                <w:rFonts w:ascii="黑体" w:hAnsi="黑体" w:eastAsia="黑体"/>
                <w:highlight w:val="none"/>
              </w:rPr>
              <w:t>5家</w:t>
            </w:r>
            <w:r>
              <w:rPr>
                <w:highlight w:val="none"/>
              </w:rPr>
              <w:t>时，去掉</w:t>
            </w:r>
            <w:r>
              <w:rPr>
                <w:rFonts w:hint="eastAsia"/>
                <w:highlight w:val="none"/>
              </w:rPr>
              <w:t>一个</w:t>
            </w:r>
            <w:r>
              <w:rPr>
                <w:highlight w:val="none"/>
              </w:rPr>
              <w:t>最高</w:t>
            </w:r>
            <w:r>
              <w:rPr>
                <w:rFonts w:hint="eastAsia"/>
                <w:highlight w:val="none"/>
              </w:rPr>
              <w:t>投标</w:t>
            </w:r>
            <w:r>
              <w:rPr>
                <w:highlight w:val="none"/>
              </w:rPr>
              <w:t>报价和</w:t>
            </w:r>
            <w:r>
              <w:rPr>
                <w:rFonts w:hint="eastAsia"/>
                <w:highlight w:val="none"/>
              </w:rPr>
              <w:t>一个</w:t>
            </w:r>
            <w:r>
              <w:rPr>
                <w:highlight w:val="none"/>
              </w:rPr>
              <w:t>最低</w:t>
            </w:r>
            <w:r>
              <w:rPr>
                <w:rFonts w:hint="eastAsia"/>
                <w:highlight w:val="none"/>
              </w:rPr>
              <w:t>投标</w:t>
            </w:r>
            <w:r>
              <w:rPr>
                <w:highlight w:val="none"/>
              </w:rPr>
              <w:t>报价，</w:t>
            </w:r>
            <w:r>
              <w:rPr>
                <w:rFonts w:hint="eastAsia"/>
                <w:highlight w:val="none"/>
              </w:rPr>
              <w:t>其余投标报价的算术平均值</w:t>
            </w:r>
            <w:r>
              <w:rPr>
                <w:highlight w:val="none"/>
              </w:rPr>
              <w:t>作为评标基准价；</w:t>
            </w:r>
          </w:p>
          <w:p w14:paraId="7158DAF2">
            <w:pPr>
              <w:spacing w:line="360" w:lineRule="exact"/>
              <w:ind w:firstLine="210" w:firstLineChars="100"/>
              <w:jc w:val="left"/>
              <w:rPr>
                <w:rFonts w:hint="eastAsia" w:asciiTheme="minorEastAsia" w:hAnsiTheme="minorEastAsia" w:eastAsiaTheme="minorEastAsia"/>
                <w:color w:val="000000"/>
                <w:szCs w:val="21"/>
                <w:highlight w:val="none"/>
              </w:rPr>
            </w:pPr>
            <w:r>
              <w:rPr>
                <w:highlight w:val="none"/>
              </w:rPr>
              <w:t>通过初步评审合格的有效投标报价</w:t>
            </w:r>
            <w:r>
              <w:rPr>
                <w:rFonts w:hint="eastAsia" w:ascii="黑体" w:hAnsi="黑体" w:eastAsia="黑体"/>
                <w:highlight w:val="none"/>
              </w:rPr>
              <w:t>小于等于</w:t>
            </w:r>
            <w:r>
              <w:rPr>
                <w:rFonts w:ascii="黑体" w:hAnsi="黑体" w:eastAsia="黑体"/>
                <w:highlight w:val="none"/>
              </w:rPr>
              <w:t>5家</w:t>
            </w:r>
            <w:r>
              <w:rPr>
                <w:highlight w:val="none"/>
              </w:rPr>
              <w:t>时，取投标报价的</w:t>
            </w:r>
            <w:r>
              <w:rPr>
                <w:rFonts w:hint="eastAsia"/>
                <w:highlight w:val="none"/>
              </w:rPr>
              <w:t>算术</w:t>
            </w:r>
            <w:r>
              <w:rPr>
                <w:highlight w:val="none"/>
              </w:rPr>
              <w:t>平均值作为评标基准价。</w:t>
            </w:r>
          </w:p>
        </w:tc>
      </w:tr>
      <w:tr w14:paraId="66CA561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861" w:hRule="atLeast"/>
        </w:trPr>
        <w:tc>
          <w:tcPr>
            <w:tcW w:w="985" w:type="pct"/>
            <w:gridSpan w:val="2"/>
            <w:tcBorders>
              <w:top w:val="single" w:color="auto" w:sz="4" w:space="0"/>
              <w:left w:val="single" w:color="auto" w:sz="4" w:space="0"/>
              <w:bottom w:val="single" w:color="auto" w:sz="4" w:space="0"/>
              <w:right w:val="single" w:color="auto" w:sz="4" w:space="0"/>
            </w:tcBorders>
            <w:vAlign w:val="center"/>
          </w:tcPr>
          <w:p w14:paraId="08208188">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2.2.3</w:t>
            </w: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6215EC56">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投标报价的偏差率计算公式</w:t>
            </w:r>
          </w:p>
        </w:tc>
        <w:tc>
          <w:tcPr>
            <w:tcW w:w="2918" w:type="pct"/>
            <w:tcBorders>
              <w:top w:val="single" w:color="auto" w:sz="4" w:space="0"/>
              <w:left w:val="single" w:color="auto" w:sz="4" w:space="0"/>
              <w:bottom w:val="single" w:color="auto" w:sz="4" w:space="0"/>
              <w:right w:val="single" w:color="auto" w:sz="4" w:space="0"/>
            </w:tcBorders>
            <w:vAlign w:val="center"/>
          </w:tcPr>
          <w:p w14:paraId="7E188657">
            <w:pPr>
              <w:spacing w:line="360" w:lineRule="exact"/>
              <w:jc w:val="left"/>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偏差率=100%×</w:t>
            </w:r>
            <w:r>
              <w:rPr>
                <w:rFonts w:hint="eastAsia" w:asciiTheme="minorEastAsia" w:hAnsiTheme="minorEastAsia" w:eastAsiaTheme="minorEastAsia"/>
                <w:color w:val="000000"/>
                <w:highlight w:val="none"/>
              </w:rPr>
              <w:t>（</w:t>
            </w:r>
            <w:r>
              <w:rPr>
                <w:rFonts w:asciiTheme="minorEastAsia" w:hAnsiTheme="minorEastAsia" w:eastAsiaTheme="minorEastAsia"/>
                <w:color w:val="000000"/>
                <w:highlight w:val="none"/>
              </w:rPr>
              <w:t>投标人报价－评标基准价</w:t>
            </w:r>
            <w:r>
              <w:rPr>
                <w:rFonts w:hint="eastAsia" w:asciiTheme="minorEastAsia" w:hAnsiTheme="minorEastAsia" w:eastAsiaTheme="minorEastAsia"/>
                <w:color w:val="000000"/>
                <w:highlight w:val="none"/>
              </w:rPr>
              <w:t>）</w:t>
            </w:r>
            <w:r>
              <w:rPr>
                <w:rFonts w:asciiTheme="minorEastAsia" w:hAnsiTheme="minorEastAsia" w:eastAsiaTheme="minorEastAsia"/>
                <w:color w:val="000000"/>
                <w:highlight w:val="none"/>
              </w:rPr>
              <w:t>/评标基准价</w:t>
            </w:r>
          </w:p>
          <w:p w14:paraId="0DE6B56A">
            <w:pPr>
              <w:spacing w:line="360" w:lineRule="exact"/>
              <w:jc w:val="left"/>
              <w:rPr>
                <w:rFonts w:hint="eastAsia" w:asciiTheme="minorEastAsia" w:hAnsiTheme="minorEastAsia" w:eastAsiaTheme="minorEastAsia"/>
                <w:color w:val="000000"/>
                <w:highlight w:val="none"/>
              </w:rPr>
            </w:pPr>
            <w:r>
              <w:rPr>
                <w:rFonts w:hint="eastAsia" w:ascii="宋体" w:hAnsi="宋体"/>
                <w:szCs w:val="21"/>
                <w:highlight w:val="none"/>
              </w:rPr>
              <w:t>偏差率（以百分数表示），保留两位小数。</w:t>
            </w:r>
          </w:p>
        </w:tc>
      </w:tr>
      <w:tr w14:paraId="227D7DE1">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25" w:hRule="atLeast"/>
        </w:trPr>
        <w:tc>
          <w:tcPr>
            <w:tcW w:w="985" w:type="pct"/>
            <w:gridSpan w:val="2"/>
            <w:tcBorders>
              <w:top w:val="single" w:color="auto" w:sz="4" w:space="0"/>
              <w:left w:val="single" w:color="auto" w:sz="4" w:space="0"/>
              <w:bottom w:val="single" w:color="auto" w:sz="4" w:space="0"/>
              <w:right w:val="single" w:color="auto" w:sz="4" w:space="0"/>
            </w:tcBorders>
            <w:vAlign w:val="center"/>
          </w:tcPr>
          <w:p w14:paraId="7B5554C4">
            <w:pPr>
              <w:spacing w:line="360" w:lineRule="exact"/>
              <w:jc w:val="center"/>
              <w:rPr>
                <w:rFonts w:hint="eastAsia" w:asciiTheme="minorEastAsia" w:hAnsiTheme="minorEastAsia" w:eastAsiaTheme="minorEastAsia"/>
                <w:color w:val="000000"/>
                <w:highlight w:val="none"/>
              </w:rPr>
            </w:pPr>
            <w:bookmarkStart w:id="31" w:name="_Hlk237420994"/>
            <w:r>
              <w:rPr>
                <w:rFonts w:asciiTheme="minorEastAsia" w:hAnsiTheme="minorEastAsia" w:eastAsiaTheme="minorEastAsia"/>
                <w:color w:val="000000"/>
                <w:highlight w:val="none"/>
              </w:rPr>
              <w:t>条款号</w:t>
            </w: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13A1EE0C">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评分因素</w:t>
            </w:r>
          </w:p>
        </w:tc>
        <w:tc>
          <w:tcPr>
            <w:tcW w:w="2918" w:type="pct"/>
            <w:tcBorders>
              <w:top w:val="single" w:color="auto" w:sz="4" w:space="0"/>
              <w:left w:val="single" w:color="auto" w:sz="4" w:space="0"/>
              <w:bottom w:val="single" w:color="auto" w:sz="4" w:space="0"/>
              <w:right w:val="single" w:color="auto" w:sz="4" w:space="0"/>
            </w:tcBorders>
            <w:vAlign w:val="center"/>
          </w:tcPr>
          <w:p w14:paraId="46360C2A">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评分标准</w:t>
            </w:r>
          </w:p>
        </w:tc>
      </w:tr>
      <w:tr w14:paraId="13E005D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restart"/>
            <w:tcBorders>
              <w:top w:val="single" w:color="auto" w:sz="4" w:space="0"/>
              <w:left w:val="single" w:color="auto" w:sz="4" w:space="0"/>
              <w:bottom w:val="single" w:color="auto" w:sz="4" w:space="0"/>
              <w:right w:val="single" w:color="auto" w:sz="4" w:space="0"/>
            </w:tcBorders>
            <w:vAlign w:val="center"/>
          </w:tcPr>
          <w:p w14:paraId="4352D351">
            <w:pPr>
              <w:spacing w:line="360" w:lineRule="exact"/>
              <w:jc w:val="center"/>
              <w:rPr>
                <w:rFonts w:hint="eastAsia" w:asciiTheme="minorEastAsia" w:hAnsiTheme="minorEastAsia" w:eastAsiaTheme="minorEastAsia"/>
                <w:color w:val="000000"/>
                <w:highlight w:val="none"/>
              </w:rPr>
            </w:pPr>
            <w:bookmarkStart w:id="32" w:name="_Hlk242534859"/>
            <w:r>
              <w:rPr>
                <w:rFonts w:asciiTheme="minorEastAsia" w:hAnsiTheme="minorEastAsia" w:eastAsiaTheme="minorEastAsia"/>
                <w:color w:val="000000"/>
                <w:highlight w:val="none"/>
              </w:rPr>
              <w:t>2.2.4</w:t>
            </w:r>
          </w:p>
          <w:p w14:paraId="5B819534">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(1)</w:t>
            </w:r>
          </w:p>
        </w:tc>
        <w:tc>
          <w:tcPr>
            <w:tcW w:w="521" w:type="pct"/>
            <w:vMerge w:val="restart"/>
            <w:tcBorders>
              <w:top w:val="single" w:color="auto" w:sz="4" w:space="0"/>
              <w:left w:val="single" w:color="auto" w:sz="4" w:space="0"/>
              <w:bottom w:val="single" w:color="auto" w:sz="4" w:space="0"/>
              <w:right w:val="single" w:color="auto" w:sz="4" w:space="0"/>
            </w:tcBorders>
            <w:vAlign w:val="center"/>
          </w:tcPr>
          <w:p w14:paraId="1545D05F">
            <w:pPr>
              <w:spacing w:line="360" w:lineRule="exact"/>
              <w:jc w:val="center"/>
              <w:rPr>
                <w:rFonts w:hint="eastAsia" w:ascii="黑体" w:hAnsi="黑体" w:eastAsia="黑体"/>
                <w:color w:val="000000"/>
                <w:highlight w:val="none"/>
              </w:rPr>
            </w:pPr>
            <w:r>
              <w:rPr>
                <w:rFonts w:hint="eastAsia" w:ascii="黑体" w:hAnsi="黑体" w:eastAsia="黑体"/>
                <w:color w:val="000000"/>
                <w:highlight w:val="none"/>
              </w:rPr>
              <w:t>A</w:t>
            </w:r>
          </w:p>
          <w:p w14:paraId="3257963E">
            <w:pPr>
              <w:spacing w:line="360" w:lineRule="exact"/>
              <w:jc w:val="center"/>
              <w:rPr>
                <w:rFonts w:hint="eastAsia" w:ascii="黑体" w:hAnsi="黑体" w:eastAsia="黑体"/>
                <w:color w:val="000000"/>
                <w:highlight w:val="none"/>
              </w:rPr>
            </w:pPr>
            <w:r>
              <w:rPr>
                <w:rFonts w:ascii="黑体" w:hAnsi="黑体" w:eastAsia="黑体"/>
                <w:color w:val="000000"/>
                <w:highlight w:val="none"/>
              </w:rPr>
              <w:t>施工组织设计评分标准</w:t>
            </w:r>
          </w:p>
          <w:p w14:paraId="652B982C">
            <w:pPr>
              <w:spacing w:line="360" w:lineRule="exact"/>
              <w:jc w:val="center"/>
              <w:rPr>
                <w:rFonts w:hint="eastAsia" w:asciiTheme="minorEastAsia" w:hAnsiTheme="minorEastAsia" w:eastAsiaTheme="minorEastAsia"/>
                <w:color w:val="000000"/>
                <w:highlight w:val="none"/>
              </w:rPr>
            </w:pPr>
            <w:r>
              <w:rPr>
                <w:rFonts w:hint="eastAsia" w:ascii="黑体" w:hAnsi="黑体" w:eastAsia="黑体"/>
                <w:color w:val="000000"/>
                <w:highlight w:val="none"/>
              </w:rPr>
              <w:t>（</w:t>
            </w:r>
            <w:r>
              <w:rPr>
                <w:rFonts w:ascii="黑体" w:hAnsi="黑体" w:eastAsia="黑体"/>
                <w:color w:val="000000"/>
                <w:highlight w:val="none"/>
              </w:rPr>
              <w:t>30</w:t>
            </w:r>
            <w:r>
              <w:rPr>
                <w:rFonts w:hint="eastAsia" w:ascii="黑体" w:hAnsi="黑体" w:eastAsia="黑体"/>
                <w:color w:val="000000"/>
                <w:highlight w:val="none"/>
              </w:rPr>
              <w:t>分）</w:t>
            </w:r>
          </w:p>
        </w:tc>
        <w:tc>
          <w:tcPr>
            <w:tcW w:w="841" w:type="pct"/>
            <w:tcBorders>
              <w:top w:val="single" w:color="auto" w:sz="4" w:space="0"/>
              <w:left w:val="single" w:color="auto" w:sz="4" w:space="0"/>
              <w:bottom w:val="single" w:color="auto" w:sz="4" w:space="0"/>
              <w:right w:val="single" w:color="auto" w:sz="4" w:space="0"/>
            </w:tcBorders>
            <w:vAlign w:val="center"/>
          </w:tcPr>
          <w:p w14:paraId="5479AD0B">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asciiTheme="minorEastAsia" w:hAnsiTheme="minorEastAsia" w:eastAsiaTheme="minorEastAsia"/>
                <w:color w:val="000000"/>
                <w:spacing w:val="-6"/>
                <w:szCs w:val="21"/>
                <w:highlight w:val="none"/>
              </w:rPr>
              <w:t>总体施工组织</w:t>
            </w:r>
          </w:p>
          <w:p w14:paraId="5AF06FC3">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asciiTheme="minorEastAsia" w:hAnsiTheme="minorEastAsia" w:eastAsiaTheme="minorEastAsia"/>
                <w:color w:val="000000"/>
                <w:spacing w:val="-6"/>
                <w:szCs w:val="21"/>
                <w:highlight w:val="none"/>
              </w:rPr>
              <w:t>布置及规划</w:t>
            </w:r>
          </w:p>
        </w:tc>
        <w:tc>
          <w:tcPr>
            <w:tcW w:w="256" w:type="pct"/>
            <w:tcBorders>
              <w:top w:val="single" w:color="auto" w:sz="4" w:space="0"/>
              <w:left w:val="single" w:color="auto" w:sz="4" w:space="0"/>
              <w:bottom w:val="single" w:color="auto" w:sz="4" w:space="0"/>
              <w:right w:val="single" w:color="auto" w:sz="4" w:space="0"/>
            </w:tcBorders>
            <w:vAlign w:val="center"/>
          </w:tcPr>
          <w:p w14:paraId="54FC73D7">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asciiTheme="minorEastAsia" w:hAnsiTheme="minorEastAsia" w:eastAsiaTheme="minorEastAsia"/>
                <w:color w:val="000000"/>
                <w:highlight w:val="none"/>
              </w:rPr>
              <w:t>5</w:t>
            </w:r>
            <w:r>
              <w:rPr>
                <w:rFonts w:hint="eastAsia" w:asciiTheme="minorEastAsia" w:hAnsiTheme="minorEastAsia" w:eastAsiaTheme="minorEastAsia"/>
                <w:color w:val="000000"/>
                <w:highlight w:val="none"/>
              </w:rPr>
              <w:t>分</w:t>
            </w:r>
          </w:p>
        </w:tc>
        <w:tc>
          <w:tcPr>
            <w:tcW w:w="2918" w:type="pct"/>
            <w:tcBorders>
              <w:top w:val="single" w:color="auto" w:sz="4" w:space="0"/>
              <w:left w:val="single" w:color="auto" w:sz="4" w:space="0"/>
              <w:bottom w:val="single" w:color="auto" w:sz="4" w:space="0"/>
              <w:right w:val="single" w:color="auto" w:sz="4" w:space="0"/>
            </w:tcBorders>
            <w:vAlign w:val="center"/>
          </w:tcPr>
          <w:p w14:paraId="73F4DD70">
            <w:pPr>
              <w:snapToGrid w:val="0"/>
              <w:spacing w:line="360" w:lineRule="exact"/>
              <w:jc w:val="left"/>
              <w:rPr>
                <w:rFonts w:hint="eastAsia" w:asciiTheme="minorEastAsia" w:hAnsiTheme="minorEastAsia" w:eastAsiaTheme="minorEastAsia"/>
                <w:spacing w:val="-6"/>
                <w:szCs w:val="21"/>
                <w:highlight w:val="none"/>
              </w:rPr>
            </w:pPr>
            <w:r>
              <w:rPr>
                <w:rFonts w:hint="eastAsia" w:cs="宋体" w:asciiTheme="minorEastAsia" w:hAnsiTheme="minorEastAsia" w:eastAsiaTheme="minorEastAsia"/>
                <w:color w:val="000000"/>
                <w:szCs w:val="21"/>
                <w:highlight w:val="none"/>
                <w:lang w:val="zh-CN"/>
              </w:rPr>
              <w:t>布置及规划完整、合理得</w:t>
            </w:r>
            <w:r>
              <w:rPr>
                <w:rFonts w:cs="宋体" w:asciiTheme="minorEastAsia" w:hAnsiTheme="minorEastAsia" w:eastAsiaTheme="minorEastAsia"/>
                <w:color w:val="000000"/>
                <w:szCs w:val="21"/>
                <w:highlight w:val="none"/>
                <w:lang w:val="zh-CN"/>
              </w:rPr>
              <w:t>5</w:t>
            </w:r>
            <w:r>
              <w:rPr>
                <w:rFonts w:hint="eastAsia" w:cs="宋体" w:asciiTheme="minorEastAsia" w:hAnsiTheme="minorEastAsia" w:eastAsiaTheme="minorEastAsia"/>
                <w:color w:val="000000"/>
                <w:szCs w:val="21"/>
                <w:highlight w:val="none"/>
                <w:lang w:val="zh-CN"/>
              </w:rPr>
              <w:t>分，其他情况</w:t>
            </w:r>
            <w:r>
              <w:rPr>
                <w:rFonts w:hint="eastAsia" w:asciiTheme="minorEastAsia" w:hAnsiTheme="minorEastAsia" w:eastAsiaTheme="minorEastAsia"/>
                <w:color w:val="000000"/>
                <w:highlight w:val="none"/>
              </w:rPr>
              <w:t>酌情扣分，最低得</w:t>
            </w:r>
            <w:r>
              <w:rPr>
                <w:rFonts w:asciiTheme="minorEastAsia" w:hAnsiTheme="minorEastAsia" w:eastAsiaTheme="minorEastAsia"/>
                <w:color w:val="000000"/>
                <w:highlight w:val="none"/>
              </w:rPr>
              <w:t>3</w:t>
            </w:r>
            <w:r>
              <w:rPr>
                <w:rFonts w:hint="eastAsia" w:asciiTheme="minorEastAsia" w:hAnsiTheme="minorEastAsia" w:eastAsiaTheme="minorEastAsia"/>
                <w:color w:val="000000"/>
                <w:highlight w:val="none"/>
              </w:rPr>
              <w:t>分</w:t>
            </w:r>
            <w:r>
              <w:rPr>
                <w:rFonts w:asciiTheme="minorEastAsia" w:hAnsiTheme="minorEastAsia" w:eastAsiaTheme="minorEastAsia"/>
                <w:color w:val="000000"/>
                <w:highlight w:val="none"/>
              </w:rPr>
              <w:t>。</w:t>
            </w:r>
          </w:p>
        </w:tc>
      </w:tr>
      <w:tr w14:paraId="5A3888D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144C5E79">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50D1143C">
            <w:pPr>
              <w:spacing w:line="360" w:lineRule="exact"/>
              <w:jc w:val="left"/>
              <w:rPr>
                <w:rFonts w:hint="eastAsia" w:asciiTheme="minorEastAsia" w:hAnsiTheme="minorEastAsia" w:eastAsiaTheme="minorEastAsia"/>
                <w:color w:val="000000"/>
                <w:highlight w:val="none"/>
              </w:rPr>
            </w:pPr>
          </w:p>
        </w:tc>
        <w:tc>
          <w:tcPr>
            <w:tcW w:w="841" w:type="pct"/>
            <w:tcBorders>
              <w:top w:val="single" w:color="auto" w:sz="4" w:space="0"/>
              <w:left w:val="single" w:color="auto" w:sz="4" w:space="0"/>
              <w:bottom w:val="single" w:color="auto" w:sz="4" w:space="0"/>
              <w:right w:val="single" w:color="auto" w:sz="4" w:space="0"/>
            </w:tcBorders>
            <w:vAlign w:val="center"/>
          </w:tcPr>
          <w:p w14:paraId="00021832">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hint="eastAsia" w:asciiTheme="minorEastAsia" w:hAnsiTheme="minorEastAsia" w:eastAsiaTheme="minorEastAsia"/>
                <w:color w:val="000000"/>
                <w:spacing w:val="-6"/>
                <w:szCs w:val="21"/>
                <w:highlight w:val="none"/>
              </w:rPr>
              <w:t>主要工程项目的施工方案、 方法</w:t>
            </w:r>
          </w:p>
          <w:p w14:paraId="6B66D3D5">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hint="eastAsia" w:asciiTheme="minorEastAsia" w:hAnsiTheme="minorEastAsia" w:eastAsiaTheme="minorEastAsia"/>
                <w:color w:val="000000"/>
                <w:spacing w:val="-6"/>
                <w:szCs w:val="21"/>
                <w:highlight w:val="none"/>
              </w:rPr>
              <w:t xml:space="preserve">与技术措施 </w:t>
            </w:r>
          </w:p>
        </w:tc>
        <w:tc>
          <w:tcPr>
            <w:tcW w:w="256" w:type="pct"/>
            <w:tcBorders>
              <w:top w:val="single" w:color="auto" w:sz="4" w:space="0"/>
              <w:left w:val="single" w:color="auto" w:sz="4" w:space="0"/>
              <w:bottom w:val="single" w:color="auto" w:sz="4" w:space="0"/>
              <w:right w:val="single" w:color="auto" w:sz="4" w:space="0"/>
            </w:tcBorders>
            <w:vAlign w:val="center"/>
          </w:tcPr>
          <w:p w14:paraId="62D98FE2">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hint="eastAsia" w:asciiTheme="minorEastAsia" w:hAnsiTheme="minorEastAsia" w:eastAsiaTheme="minorEastAsia"/>
                <w:color w:val="000000"/>
                <w:spacing w:val="-6"/>
                <w:szCs w:val="21"/>
                <w:highlight w:val="none"/>
              </w:rPr>
              <w:t>5分</w:t>
            </w:r>
          </w:p>
        </w:tc>
        <w:tc>
          <w:tcPr>
            <w:tcW w:w="2918" w:type="pct"/>
            <w:tcBorders>
              <w:top w:val="single" w:color="auto" w:sz="4" w:space="0"/>
              <w:left w:val="single" w:color="auto" w:sz="4" w:space="0"/>
              <w:bottom w:val="single" w:color="auto" w:sz="4" w:space="0"/>
              <w:right w:val="single" w:color="auto" w:sz="4" w:space="0"/>
            </w:tcBorders>
            <w:vAlign w:val="center"/>
          </w:tcPr>
          <w:p w14:paraId="4F71C251">
            <w:pPr>
              <w:autoSpaceDE w:val="0"/>
              <w:autoSpaceDN w:val="0"/>
              <w:adjustRightInd w:val="0"/>
              <w:snapToGrid w:val="0"/>
              <w:spacing w:line="360" w:lineRule="exact"/>
              <w:jc w:val="left"/>
              <w:rPr>
                <w:rFonts w:hint="eastAsia" w:asciiTheme="minorEastAsia" w:hAnsiTheme="minorEastAsia" w:eastAsiaTheme="minorEastAsia"/>
                <w:spacing w:val="-6"/>
                <w:szCs w:val="21"/>
                <w:highlight w:val="none"/>
              </w:rPr>
            </w:pPr>
            <w:r>
              <w:rPr>
                <w:rFonts w:hint="eastAsia" w:asciiTheme="minorEastAsia" w:hAnsiTheme="minorEastAsia" w:eastAsiaTheme="minorEastAsia"/>
                <w:color w:val="000000"/>
                <w:spacing w:val="-6"/>
                <w:szCs w:val="21"/>
                <w:highlight w:val="none"/>
              </w:rPr>
              <w:t>施工方法先进、合理、满足工程施工要求</w:t>
            </w:r>
            <w:r>
              <w:rPr>
                <w:rFonts w:hint="eastAsia" w:cs="宋体" w:asciiTheme="minorEastAsia" w:hAnsiTheme="minorEastAsia" w:eastAsiaTheme="minorEastAsia"/>
                <w:color w:val="000000"/>
                <w:szCs w:val="21"/>
                <w:highlight w:val="none"/>
                <w:lang w:val="zh-CN"/>
              </w:rPr>
              <w:t>得</w:t>
            </w:r>
            <w:r>
              <w:rPr>
                <w:rFonts w:cs="宋体" w:asciiTheme="minorEastAsia" w:hAnsiTheme="minorEastAsia" w:eastAsiaTheme="minorEastAsia"/>
                <w:color w:val="000000"/>
                <w:szCs w:val="21"/>
                <w:highlight w:val="none"/>
                <w:lang w:val="zh-CN"/>
              </w:rPr>
              <w:t>5</w:t>
            </w:r>
            <w:r>
              <w:rPr>
                <w:rFonts w:hint="eastAsia" w:cs="宋体" w:asciiTheme="minorEastAsia" w:hAnsiTheme="minorEastAsia" w:eastAsiaTheme="minorEastAsia"/>
                <w:color w:val="000000"/>
                <w:szCs w:val="21"/>
                <w:highlight w:val="none"/>
                <w:lang w:val="zh-CN"/>
              </w:rPr>
              <w:t>分，其他情况</w:t>
            </w:r>
            <w:r>
              <w:rPr>
                <w:rFonts w:hint="eastAsia" w:asciiTheme="minorEastAsia" w:hAnsiTheme="minorEastAsia" w:eastAsiaTheme="minorEastAsia"/>
                <w:color w:val="000000"/>
                <w:highlight w:val="none"/>
              </w:rPr>
              <w:t>酌情扣分，最低得</w:t>
            </w:r>
            <w:r>
              <w:rPr>
                <w:rFonts w:asciiTheme="minorEastAsia" w:hAnsiTheme="minorEastAsia" w:eastAsiaTheme="minorEastAsia"/>
                <w:color w:val="000000"/>
                <w:highlight w:val="none"/>
              </w:rPr>
              <w:t>3</w:t>
            </w:r>
            <w:r>
              <w:rPr>
                <w:rFonts w:hint="eastAsia" w:asciiTheme="minorEastAsia" w:hAnsiTheme="minorEastAsia" w:eastAsiaTheme="minorEastAsia"/>
                <w:color w:val="000000"/>
                <w:highlight w:val="none"/>
              </w:rPr>
              <w:t>分</w:t>
            </w:r>
            <w:r>
              <w:rPr>
                <w:rFonts w:asciiTheme="minorEastAsia" w:hAnsiTheme="minorEastAsia" w:eastAsiaTheme="minorEastAsia"/>
                <w:color w:val="000000"/>
                <w:highlight w:val="none"/>
              </w:rPr>
              <w:t>。</w:t>
            </w:r>
          </w:p>
        </w:tc>
      </w:tr>
      <w:tr w14:paraId="1AC3BA6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45E7BEFC">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66969991">
            <w:pPr>
              <w:spacing w:line="360" w:lineRule="exact"/>
              <w:jc w:val="left"/>
              <w:rPr>
                <w:rFonts w:hint="eastAsia" w:asciiTheme="minorEastAsia" w:hAnsiTheme="minorEastAsia" w:eastAsiaTheme="minorEastAsia"/>
                <w:color w:val="000000"/>
                <w:highlight w:val="none"/>
              </w:rPr>
            </w:pPr>
          </w:p>
        </w:tc>
        <w:tc>
          <w:tcPr>
            <w:tcW w:w="841" w:type="pct"/>
            <w:tcBorders>
              <w:top w:val="single" w:color="auto" w:sz="4" w:space="0"/>
              <w:left w:val="single" w:color="auto" w:sz="4" w:space="0"/>
              <w:bottom w:val="single" w:color="auto" w:sz="4" w:space="0"/>
              <w:right w:val="single" w:color="auto" w:sz="4" w:space="0"/>
            </w:tcBorders>
            <w:vAlign w:val="center"/>
          </w:tcPr>
          <w:p w14:paraId="3A8E4F94">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hint="eastAsia" w:asciiTheme="minorEastAsia" w:hAnsiTheme="minorEastAsia" w:eastAsiaTheme="minorEastAsia"/>
                <w:color w:val="000000"/>
                <w:spacing w:val="-6"/>
                <w:szCs w:val="21"/>
                <w:highlight w:val="none"/>
              </w:rPr>
              <w:t>工期保证体系</w:t>
            </w:r>
          </w:p>
          <w:p w14:paraId="008FBCEE">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hint="eastAsia" w:asciiTheme="minorEastAsia" w:hAnsiTheme="minorEastAsia" w:eastAsiaTheme="minorEastAsia"/>
                <w:color w:val="000000"/>
                <w:spacing w:val="-6"/>
                <w:szCs w:val="21"/>
                <w:highlight w:val="none"/>
              </w:rPr>
              <w:t>及保证措施</w:t>
            </w:r>
          </w:p>
        </w:tc>
        <w:tc>
          <w:tcPr>
            <w:tcW w:w="256" w:type="pct"/>
            <w:tcBorders>
              <w:top w:val="single" w:color="auto" w:sz="4" w:space="0"/>
              <w:left w:val="single" w:color="auto" w:sz="4" w:space="0"/>
              <w:bottom w:val="single" w:color="auto" w:sz="4" w:space="0"/>
              <w:right w:val="single" w:color="auto" w:sz="4" w:space="0"/>
            </w:tcBorders>
            <w:vAlign w:val="center"/>
          </w:tcPr>
          <w:p w14:paraId="254FB9F9">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hint="eastAsia" w:asciiTheme="minorEastAsia" w:hAnsiTheme="minorEastAsia" w:eastAsiaTheme="minorEastAsia"/>
                <w:color w:val="000000"/>
                <w:spacing w:val="-6"/>
                <w:szCs w:val="21"/>
                <w:highlight w:val="none"/>
              </w:rPr>
              <w:t>2分</w:t>
            </w:r>
          </w:p>
        </w:tc>
        <w:tc>
          <w:tcPr>
            <w:tcW w:w="2918" w:type="pct"/>
            <w:tcBorders>
              <w:top w:val="single" w:color="auto" w:sz="4" w:space="0"/>
              <w:left w:val="single" w:color="auto" w:sz="4" w:space="0"/>
              <w:bottom w:val="single" w:color="auto" w:sz="4" w:space="0"/>
              <w:right w:val="single" w:color="auto" w:sz="4" w:space="0"/>
            </w:tcBorders>
            <w:vAlign w:val="center"/>
          </w:tcPr>
          <w:p w14:paraId="7E9E522E">
            <w:pPr>
              <w:snapToGrid w:val="0"/>
              <w:spacing w:line="360" w:lineRule="exact"/>
              <w:jc w:val="left"/>
              <w:rPr>
                <w:rFonts w:hint="eastAsia" w:asciiTheme="minorEastAsia" w:hAnsiTheme="minorEastAsia" w:eastAsiaTheme="minorEastAsia"/>
                <w:spacing w:val="-6"/>
                <w:szCs w:val="21"/>
                <w:highlight w:val="none"/>
              </w:rPr>
            </w:pPr>
            <w:r>
              <w:rPr>
                <w:rFonts w:hint="eastAsia" w:asciiTheme="minorEastAsia" w:hAnsiTheme="minorEastAsia" w:eastAsiaTheme="minorEastAsia"/>
                <w:color w:val="000000"/>
                <w:spacing w:val="-6"/>
                <w:szCs w:val="21"/>
                <w:highlight w:val="none"/>
              </w:rPr>
              <w:t>有计划和措施，符合开竣工日期要求，合理</w:t>
            </w:r>
            <w:r>
              <w:rPr>
                <w:rFonts w:hint="eastAsia" w:cs="宋体" w:asciiTheme="minorEastAsia" w:hAnsiTheme="minorEastAsia" w:eastAsiaTheme="minorEastAsia"/>
                <w:color w:val="000000"/>
                <w:szCs w:val="21"/>
                <w:highlight w:val="none"/>
                <w:lang w:val="zh-CN"/>
              </w:rPr>
              <w:t>得2分，其他情况</w:t>
            </w:r>
            <w:r>
              <w:rPr>
                <w:rFonts w:hint="eastAsia" w:asciiTheme="minorEastAsia" w:hAnsiTheme="minorEastAsia" w:eastAsiaTheme="minorEastAsia"/>
                <w:color w:val="000000"/>
                <w:highlight w:val="none"/>
              </w:rPr>
              <w:t>酌情扣分，最低得1.2分</w:t>
            </w:r>
            <w:r>
              <w:rPr>
                <w:rFonts w:asciiTheme="minorEastAsia" w:hAnsiTheme="minorEastAsia" w:eastAsiaTheme="minorEastAsia"/>
                <w:color w:val="000000"/>
                <w:highlight w:val="none"/>
              </w:rPr>
              <w:t>。</w:t>
            </w:r>
          </w:p>
        </w:tc>
      </w:tr>
      <w:tr w14:paraId="5829D92A">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61D354F0">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036E72A1">
            <w:pPr>
              <w:spacing w:line="360" w:lineRule="exact"/>
              <w:jc w:val="left"/>
              <w:rPr>
                <w:rFonts w:hint="eastAsia" w:asciiTheme="minorEastAsia" w:hAnsiTheme="minorEastAsia" w:eastAsiaTheme="minorEastAsia"/>
                <w:color w:val="000000"/>
                <w:highlight w:val="none"/>
              </w:rPr>
            </w:pPr>
          </w:p>
        </w:tc>
        <w:tc>
          <w:tcPr>
            <w:tcW w:w="841" w:type="pct"/>
            <w:tcBorders>
              <w:top w:val="single" w:color="auto" w:sz="4" w:space="0"/>
              <w:left w:val="single" w:color="auto" w:sz="4" w:space="0"/>
              <w:bottom w:val="single" w:color="auto" w:sz="4" w:space="0"/>
              <w:right w:val="single" w:color="auto" w:sz="4" w:space="0"/>
            </w:tcBorders>
            <w:vAlign w:val="center"/>
          </w:tcPr>
          <w:p w14:paraId="3F302C22">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hint="eastAsia" w:asciiTheme="minorEastAsia" w:hAnsiTheme="minorEastAsia" w:eastAsiaTheme="minorEastAsia"/>
                <w:color w:val="000000"/>
                <w:spacing w:val="-6"/>
                <w:szCs w:val="21"/>
                <w:highlight w:val="none"/>
              </w:rPr>
              <w:t>资源配备计划</w:t>
            </w:r>
          </w:p>
        </w:tc>
        <w:tc>
          <w:tcPr>
            <w:tcW w:w="256" w:type="pct"/>
            <w:tcBorders>
              <w:top w:val="single" w:color="auto" w:sz="4" w:space="0"/>
              <w:left w:val="single" w:color="auto" w:sz="4" w:space="0"/>
              <w:bottom w:val="single" w:color="auto" w:sz="4" w:space="0"/>
              <w:right w:val="single" w:color="auto" w:sz="4" w:space="0"/>
            </w:tcBorders>
            <w:vAlign w:val="center"/>
          </w:tcPr>
          <w:p w14:paraId="3619DD2F">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hint="eastAsia" w:asciiTheme="minorEastAsia" w:hAnsiTheme="minorEastAsia" w:eastAsiaTheme="minorEastAsia"/>
                <w:color w:val="000000"/>
                <w:spacing w:val="-6"/>
                <w:szCs w:val="21"/>
                <w:highlight w:val="none"/>
              </w:rPr>
              <w:t>3分</w:t>
            </w:r>
          </w:p>
        </w:tc>
        <w:tc>
          <w:tcPr>
            <w:tcW w:w="2918" w:type="pct"/>
            <w:tcBorders>
              <w:top w:val="single" w:color="auto" w:sz="4" w:space="0"/>
              <w:left w:val="single" w:color="auto" w:sz="4" w:space="0"/>
              <w:bottom w:val="single" w:color="auto" w:sz="4" w:space="0"/>
              <w:right w:val="single" w:color="auto" w:sz="4" w:space="0"/>
            </w:tcBorders>
            <w:vAlign w:val="center"/>
          </w:tcPr>
          <w:p w14:paraId="19471CD5">
            <w:pPr>
              <w:snapToGrid w:val="0"/>
              <w:spacing w:line="360" w:lineRule="exact"/>
              <w:jc w:val="left"/>
              <w:rPr>
                <w:rFonts w:hint="eastAsia" w:asciiTheme="minorEastAsia" w:hAnsiTheme="minorEastAsia" w:eastAsiaTheme="minorEastAsia"/>
                <w:spacing w:val="-6"/>
                <w:szCs w:val="21"/>
                <w:highlight w:val="none"/>
              </w:rPr>
            </w:pPr>
            <w:r>
              <w:rPr>
                <w:rFonts w:hint="eastAsia" w:asciiTheme="minorEastAsia" w:hAnsiTheme="minorEastAsia" w:eastAsiaTheme="minorEastAsia"/>
                <w:color w:val="000000"/>
                <w:spacing w:val="-6"/>
                <w:szCs w:val="21"/>
                <w:highlight w:val="none"/>
              </w:rPr>
              <w:t>计划合理、满足施工要求</w:t>
            </w:r>
            <w:r>
              <w:rPr>
                <w:rFonts w:hint="eastAsia" w:cs="宋体" w:asciiTheme="minorEastAsia" w:hAnsiTheme="minorEastAsia" w:eastAsiaTheme="minorEastAsia"/>
                <w:color w:val="000000"/>
                <w:szCs w:val="21"/>
                <w:highlight w:val="none"/>
                <w:lang w:val="zh-CN"/>
              </w:rPr>
              <w:t>得</w:t>
            </w:r>
            <w:r>
              <w:rPr>
                <w:rFonts w:cs="宋体" w:asciiTheme="minorEastAsia" w:hAnsiTheme="minorEastAsia" w:eastAsiaTheme="minorEastAsia"/>
                <w:color w:val="000000"/>
                <w:szCs w:val="21"/>
                <w:highlight w:val="none"/>
                <w:lang w:val="zh-CN"/>
              </w:rPr>
              <w:t>3</w:t>
            </w:r>
            <w:r>
              <w:rPr>
                <w:rFonts w:hint="eastAsia" w:cs="宋体" w:asciiTheme="minorEastAsia" w:hAnsiTheme="minorEastAsia" w:eastAsiaTheme="minorEastAsia"/>
                <w:color w:val="000000"/>
                <w:szCs w:val="21"/>
                <w:highlight w:val="none"/>
                <w:lang w:val="zh-CN"/>
              </w:rPr>
              <w:t>分，其他情况</w:t>
            </w:r>
            <w:r>
              <w:rPr>
                <w:rFonts w:hint="eastAsia" w:asciiTheme="minorEastAsia" w:hAnsiTheme="minorEastAsia" w:eastAsiaTheme="minorEastAsia"/>
                <w:color w:val="000000"/>
                <w:highlight w:val="none"/>
              </w:rPr>
              <w:t>酌情扣分，最低得</w:t>
            </w:r>
            <w:r>
              <w:rPr>
                <w:rFonts w:asciiTheme="minorEastAsia" w:hAnsiTheme="minorEastAsia" w:eastAsiaTheme="minorEastAsia"/>
                <w:color w:val="000000"/>
                <w:highlight w:val="none"/>
              </w:rPr>
              <w:t>1.8</w:t>
            </w:r>
            <w:r>
              <w:rPr>
                <w:rFonts w:hint="eastAsia" w:asciiTheme="minorEastAsia" w:hAnsiTheme="minorEastAsia" w:eastAsiaTheme="minorEastAsia"/>
                <w:color w:val="000000"/>
                <w:highlight w:val="none"/>
              </w:rPr>
              <w:t>分</w:t>
            </w:r>
            <w:r>
              <w:rPr>
                <w:rFonts w:asciiTheme="minorEastAsia" w:hAnsiTheme="minorEastAsia" w:eastAsiaTheme="minorEastAsia"/>
                <w:color w:val="000000"/>
                <w:highlight w:val="none"/>
              </w:rPr>
              <w:t>。</w:t>
            </w:r>
          </w:p>
        </w:tc>
      </w:tr>
      <w:tr w14:paraId="7C296AA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587D0C87">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505682F0">
            <w:pPr>
              <w:spacing w:line="360" w:lineRule="exact"/>
              <w:jc w:val="left"/>
              <w:rPr>
                <w:rFonts w:hint="eastAsia" w:asciiTheme="minorEastAsia" w:hAnsiTheme="minorEastAsia" w:eastAsiaTheme="minorEastAsia"/>
                <w:color w:val="000000"/>
                <w:highlight w:val="none"/>
              </w:rPr>
            </w:pPr>
          </w:p>
        </w:tc>
        <w:tc>
          <w:tcPr>
            <w:tcW w:w="841" w:type="pct"/>
            <w:tcBorders>
              <w:top w:val="single" w:color="auto" w:sz="4" w:space="0"/>
              <w:left w:val="single" w:color="auto" w:sz="4" w:space="0"/>
              <w:bottom w:val="single" w:color="auto" w:sz="4" w:space="0"/>
              <w:right w:val="single" w:color="auto" w:sz="4" w:space="0"/>
            </w:tcBorders>
            <w:vAlign w:val="center"/>
          </w:tcPr>
          <w:p w14:paraId="21EA209C">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hint="eastAsia" w:asciiTheme="minorEastAsia" w:hAnsiTheme="minorEastAsia" w:eastAsiaTheme="minorEastAsia"/>
                <w:color w:val="000000"/>
                <w:spacing w:val="-6"/>
                <w:szCs w:val="21"/>
                <w:highlight w:val="none"/>
              </w:rPr>
              <w:t>工程质量管理体系</w:t>
            </w:r>
          </w:p>
          <w:p w14:paraId="2DF1B7F8">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hint="eastAsia" w:asciiTheme="minorEastAsia" w:hAnsiTheme="minorEastAsia" w:eastAsiaTheme="minorEastAsia"/>
                <w:color w:val="000000"/>
                <w:spacing w:val="-6"/>
                <w:szCs w:val="21"/>
                <w:highlight w:val="none"/>
              </w:rPr>
              <w:t>与保证措施</w:t>
            </w:r>
          </w:p>
        </w:tc>
        <w:tc>
          <w:tcPr>
            <w:tcW w:w="256" w:type="pct"/>
            <w:tcBorders>
              <w:top w:val="single" w:color="auto" w:sz="4" w:space="0"/>
              <w:left w:val="single" w:color="auto" w:sz="4" w:space="0"/>
              <w:bottom w:val="single" w:color="auto" w:sz="4" w:space="0"/>
              <w:right w:val="single" w:color="auto" w:sz="4" w:space="0"/>
            </w:tcBorders>
            <w:vAlign w:val="center"/>
          </w:tcPr>
          <w:p w14:paraId="2D2B80E2">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hint="eastAsia" w:asciiTheme="minorEastAsia" w:hAnsiTheme="minorEastAsia" w:eastAsiaTheme="minorEastAsia"/>
                <w:color w:val="000000"/>
                <w:spacing w:val="-6"/>
                <w:szCs w:val="21"/>
                <w:highlight w:val="none"/>
              </w:rPr>
              <w:t>5分</w:t>
            </w:r>
          </w:p>
        </w:tc>
        <w:tc>
          <w:tcPr>
            <w:tcW w:w="2918" w:type="pct"/>
            <w:tcBorders>
              <w:top w:val="single" w:color="auto" w:sz="4" w:space="0"/>
              <w:left w:val="single" w:color="auto" w:sz="4" w:space="0"/>
              <w:bottom w:val="single" w:color="auto" w:sz="4" w:space="0"/>
              <w:right w:val="single" w:color="auto" w:sz="4" w:space="0"/>
            </w:tcBorders>
            <w:vAlign w:val="center"/>
          </w:tcPr>
          <w:p w14:paraId="78FC2521">
            <w:pPr>
              <w:snapToGrid w:val="0"/>
              <w:spacing w:line="360" w:lineRule="exact"/>
              <w:jc w:val="left"/>
              <w:rPr>
                <w:rFonts w:hint="eastAsia" w:asciiTheme="minorEastAsia" w:hAnsiTheme="minorEastAsia" w:eastAsiaTheme="minorEastAsia"/>
                <w:spacing w:val="-6"/>
                <w:szCs w:val="21"/>
                <w:highlight w:val="none"/>
              </w:rPr>
            </w:pPr>
            <w:r>
              <w:rPr>
                <w:rFonts w:hint="eastAsia" w:asciiTheme="minorEastAsia" w:hAnsiTheme="minorEastAsia" w:eastAsiaTheme="minorEastAsia"/>
                <w:color w:val="000000"/>
                <w:spacing w:val="-6"/>
                <w:szCs w:val="21"/>
                <w:highlight w:val="none"/>
              </w:rPr>
              <w:t>施工技术标准、施工过程、检验检测，质量通病防治等确保工程质量的技术组织措施满足施工要求</w:t>
            </w:r>
            <w:r>
              <w:rPr>
                <w:rFonts w:hint="eastAsia" w:cs="宋体" w:asciiTheme="minorEastAsia" w:hAnsiTheme="minorEastAsia" w:eastAsiaTheme="minorEastAsia"/>
                <w:color w:val="000000"/>
                <w:szCs w:val="21"/>
                <w:highlight w:val="none"/>
                <w:lang w:val="zh-CN"/>
              </w:rPr>
              <w:t>得</w:t>
            </w:r>
            <w:r>
              <w:rPr>
                <w:rFonts w:cs="宋体" w:asciiTheme="minorEastAsia" w:hAnsiTheme="minorEastAsia" w:eastAsiaTheme="minorEastAsia"/>
                <w:color w:val="000000"/>
                <w:szCs w:val="21"/>
                <w:highlight w:val="none"/>
                <w:lang w:val="zh-CN"/>
              </w:rPr>
              <w:t>5</w:t>
            </w:r>
            <w:r>
              <w:rPr>
                <w:rFonts w:hint="eastAsia" w:cs="宋体" w:asciiTheme="minorEastAsia" w:hAnsiTheme="minorEastAsia" w:eastAsiaTheme="minorEastAsia"/>
                <w:color w:val="000000"/>
                <w:szCs w:val="21"/>
                <w:highlight w:val="none"/>
                <w:lang w:val="zh-CN"/>
              </w:rPr>
              <w:t>分，其他情况</w:t>
            </w:r>
            <w:r>
              <w:rPr>
                <w:rFonts w:hint="eastAsia" w:asciiTheme="minorEastAsia" w:hAnsiTheme="minorEastAsia" w:eastAsiaTheme="minorEastAsia"/>
                <w:color w:val="000000"/>
                <w:highlight w:val="none"/>
              </w:rPr>
              <w:t>酌情扣分，最低得</w:t>
            </w:r>
            <w:r>
              <w:rPr>
                <w:rFonts w:asciiTheme="minorEastAsia" w:hAnsiTheme="minorEastAsia" w:eastAsiaTheme="minorEastAsia"/>
                <w:color w:val="000000"/>
                <w:highlight w:val="none"/>
              </w:rPr>
              <w:t>3</w:t>
            </w:r>
            <w:r>
              <w:rPr>
                <w:rFonts w:hint="eastAsia" w:asciiTheme="minorEastAsia" w:hAnsiTheme="minorEastAsia" w:eastAsiaTheme="minorEastAsia"/>
                <w:color w:val="000000"/>
                <w:highlight w:val="none"/>
              </w:rPr>
              <w:t>分</w:t>
            </w:r>
            <w:r>
              <w:rPr>
                <w:rFonts w:asciiTheme="minorEastAsia" w:hAnsiTheme="minorEastAsia" w:eastAsiaTheme="minorEastAsia"/>
                <w:color w:val="000000"/>
                <w:highlight w:val="none"/>
              </w:rPr>
              <w:t>。</w:t>
            </w:r>
          </w:p>
        </w:tc>
      </w:tr>
      <w:tr w14:paraId="560BFEC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5BEE939D">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6AA1D85B">
            <w:pPr>
              <w:spacing w:line="360" w:lineRule="exact"/>
              <w:jc w:val="left"/>
              <w:rPr>
                <w:rFonts w:hint="eastAsia" w:asciiTheme="minorEastAsia" w:hAnsiTheme="minorEastAsia" w:eastAsiaTheme="minorEastAsia"/>
                <w:color w:val="000000"/>
                <w:highlight w:val="none"/>
              </w:rPr>
            </w:pPr>
          </w:p>
        </w:tc>
        <w:tc>
          <w:tcPr>
            <w:tcW w:w="841" w:type="pct"/>
            <w:tcBorders>
              <w:top w:val="single" w:color="auto" w:sz="4" w:space="0"/>
              <w:left w:val="single" w:color="auto" w:sz="4" w:space="0"/>
              <w:bottom w:val="single" w:color="auto" w:sz="4" w:space="0"/>
              <w:right w:val="single" w:color="auto" w:sz="4" w:space="0"/>
            </w:tcBorders>
            <w:vAlign w:val="center"/>
          </w:tcPr>
          <w:p w14:paraId="5DF61198">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hint="eastAsia" w:asciiTheme="minorEastAsia" w:hAnsiTheme="minorEastAsia" w:eastAsiaTheme="minorEastAsia"/>
                <w:color w:val="000000"/>
                <w:spacing w:val="-6"/>
                <w:szCs w:val="21"/>
                <w:highlight w:val="none"/>
              </w:rPr>
              <w:t>安全生产管理体系</w:t>
            </w:r>
          </w:p>
          <w:p w14:paraId="440DDBB2">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hint="eastAsia" w:asciiTheme="minorEastAsia" w:hAnsiTheme="minorEastAsia" w:eastAsiaTheme="minorEastAsia"/>
                <w:color w:val="000000"/>
                <w:spacing w:val="-6"/>
                <w:szCs w:val="21"/>
                <w:highlight w:val="none"/>
              </w:rPr>
              <w:t xml:space="preserve">与保证措施 </w:t>
            </w:r>
          </w:p>
        </w:tc>
        <w:tc>
          <w:tcPr>
            <w:tcW w:w="256" w:type="pct"/>
            <w:tcBorders>
              <w:top w:val="single" w:color="auto" w:sz="4" w:space="0"/>
              <w:left w:val="single" w:color="auto" w:sz="4" w:space="0"/>
              <w:bottom w:val="single" w:color="auto" w:sz="4" w:space="0"/>
              <w:right w:val="single" w:color="auto" w:sz="4" w:space="0"/>
            </w:tcBorders>
            <w:vAlign w:val="center"/>
          </w:tcPr>
          <w:p w14:paraId="62B20F95">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hint="eastAsia" w:asciiTheme="minorEastAsia" w:hAnsiTheme="minorEastAsia" w:eastAsiaTheme="minorEastAsia"/>
                <w:color w:val="000000"/>
                <w:spacing w:val="-6"/>
                <w:szCs w:val="21"/>
                <w:highlight w:val="none"/>
              </w:rPr>
              <w:t>5分</w:t>
            </w:r>
          </w:p>
        </w:tc>
        <w:tc>
          <w:tcPr>
            <w:tcW w:w="2918" w:type="pct"/>
            <w:tcBorders>
              <w:top w:val="single" w:color="auto" w:sz="4" w:space="0"/>
              <w:left w:val="single" w:color="auto" w:sz="4" w:space="0"/>
              <w:bottom w:val="single" w:color="auto" w:sz="4" w:space="0"/>
              <w:right w:val="single" w:color="auto" w:sz="4" w:space="0"/>
            </w:tcBorders>
            <w:vAlign w:val="center"/>
          </w:tcPr>
          <w:p w14:paraId="640CB1C0">
            <w:pPr>
              <w:autoSpaceDE w:val="0"/>
              <w:autoSpaceDN w:val="0"/>
              <w:adjustRightInd w:val="0"/>
              <w:snapToGrid w:val="0"/>
              <w:spacing w:line="360" w:lineRule="exact"/>
              <w:jc w:val="left"/>
              <w:rPr>
                <w:rFonts w:hint="eastAsia" w:asciiTheme="minorEastAsia" w:hAnsiTheme="minorEastAsia" w:eastAsiaTheme="minorEastAsia"/>
                <w:spacing w:val="-6"/>
                <w:szCs w:val="21"/>
                <w:highlight w:val="none"/>
              </w:rPr>
            </w:pPr>
            <w:r>
              <w:rPr>
                <w:rFonts w:hint="eastAsia" w:asciiTheme="minorEastAsia" w:hAnsiTheme="minorEastAsia" w:eastAsiaTheme="minorEastAsia"/>
                <w:color w:val="000000"/>
                <w:spacing w:val="-6"/>
                <w:szCs w:val="21"/>
                <w:highlight w:val="none"/>
              </w:rPr>
              <w:t>合理、全面、有效</w:t>
            </w:r>
            <w:r>
              <w:rPr>
                <w:rFonts w:hint="eastAsia" w:cs="宋体" w:asciiTheme="minorEastAsia" w:hAnsiTheme="minorEastAsia" w:eastAsiaTheme="minorEastAsia"/>
                <w:color w:val="000000"/>
                <w:szCs w:val="21"/>
                <w:highlight w:val="none"/>
                <w:lang w:val="zh-CN"/>
              </w:rPr>
              <w:t>得</w:t>
            </w:r>
            <w:r>
              <w:rPr>
                <w:rFonts w:cs="宋体" w:asciiTheme="minorEastAsia" w:hAnsiTheme="minorEastAsia" w:eastAsiaTheme="minorEastAsia"/>
                <w:color w:val="000000"/>
                <w:szCs w:val="21"/>
                <w:highlight w:val="none"/>
                <w:lang w:val="zh-CN"/>
              </w:rPr>
              <w:t>5</w:t>
            </w:r>
            <w:r>
              <w:rPr>
                <w:rFonts w:hint="eastAsia" w:cs="宋体" w:asciiTheme="minorEastAsia" w:hAnsiTheme="minorEastAsia" w:eastAsiaTheme="minorEastAsia"/>
                <w:color w:val="000000"/>
                <w:szCs w:val="21"/>
                <w:highlight w:val="none"/>
                <w:lang w:val="zh-CN"/>
              </w:rPr>
              <w:t>分，其他情况</w:t>
            </w:r>
            <w:r>
              <w:rPr>
                <w:rFonts w:hint="eastAsia" w:asciiTheme="minorEastAsia" w:hAnsiTheme="minorEastAsia" w:eastAsiaTheme="minorEastAsia"/>
                <w:color w:val="000000"/>
                <w:highlight w:val="none"/>
              </w:rPr>
              <w:t>酌情扣分，最低得</w:t>
            </w:r>
            <w:r>
              <w:rPr>
                <w:rFonts w:asciiTheme="minorEastAsia" w:hAnsiTheme="minorEastAsia" w:eastAsiaTheme="minorEastAsia"/>
                <w:color w:val="000000"/>
                <w:highlight w:val="none"/>
              </w:rPr>
              <w:t>3</w:t>
            </w:r>
            <w:r>
              <w:rPr>
                <w:rFonts w:hint="eastAsia" w:asciiTheme="minorEastAsia" w:hAnsiTheme="minorEastAsia" w:eastAsiaTheme="minorEastAsia"/>
                <w:color w:val="000000"/>
                <w:highlight w:val="none"/>
              </w:rPr>
              <w:t>分</w:t>
            </w:r>
            <w:r>
              <w:rPr>
                <w:rFonts w:asciiTheme="minorEastAsia" w:hAnsiTheme="minorEastAsia" w:eastAsiaTheme="minorEastAsia"/>
                <w:color w:val="000000"/>
                <w:highlight w:val="none"/>
              </w:rPr>
              <w:t>。</w:t>
            </w:r>
          </w:p>
        </w:tc>
      </w:tr>
      <w:tr w14:paraId="565D389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vMerge w:val="continue"/>
            <w:tcBorders>
              <w:top w:val="single" w:color="auto" w:sz="4" w:space="0"/>
              <w:left w:val="single" w:color="auto" w:sz="4" w:space="0"/>
              <w:bottom w:val="single" w:color="auto" w:sz="4" w:space="0"/>
              <w:right w:val="single" w:color="auto" w:sz="4" w:space="0"/>
            </w:tcBorders>
            <w:vAlign w:val="center"/>
          </w:tcPr>
          <w:p w14:paraId="253AAF1A">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575C4DDD">
            <w:pPr>
              <w:spacing w:line="360" w:lineRule="exact"/>
              <w:jc w:val="left"/>
              <w:rPr>
                <w:rFonts w:hint="eastAsia" w:asciiTheme="minorEastAsia" w:hAnsiTheme="minorEastAsia" w:eastAsiaTheme="minorEastAsia"/>
                <w:color w:val="000000"/>
                <w:highlight w:val="none"/>
              </w:rPr>
            </w:pPr>
          </w:p>
        </w:tc>
        <w:tc>
          <w:tcPr>
            <w:tcW w:w="841" w:type="pct"/>
            <w:tcBorders>
              <w:top w:val="single" w:color="auto" w:sz="4" w:space="0"/>
              <w:left w:val="single" w:color="auto" w:sz="4" w:space="0"/>
              <w:bottom w:val="single" w:color="auto" w:sz="4" w:space="0"/>
              <w:right w:val="single" w:color="auto" w:sz="4" w:space="0"/>
            </w:tcBorders>
            <w:vAlign w:val="center"/>
          </w:tcPr>
          <w:p w14:paraId="0B23F3D3">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hint="eastAsia" w:asciiTheme="minorEastAsia" w:hAnsiTheme="minorEastAsia" w:eastAsiaTheme="minorEastAsia"/>
                <w:color w:val="000000"/>
                <w:spacing w:val="-6"/>
                <w:szCs w:val="21"/>
                <w:highlight w:val="none"/>
              </w:rPr>
              <w:t>环保、水保、文明施工、文物保护体系与保证措施</w:t>
            </w:r>
          </w:p>
        </w:tc>
        <w:tc>
          <w:tcPr>
            <w:tcW w:w="256" w:type="pct"/>
            <w:tcBorders>
              <w:top w:val="single" w:color="auto" w:sz="4" w:space="0"/>
              <w:left w:val="single" w:color="auto" w:sz="4" w:space="0"/>
              <w:bottom w:val="single" w:color="auto" w:sz="4" w:space="0"/>
              <w:right w:val="single" w:color="auto" w:sz="4" w:space="0"/>
            </w:tcBorders>
            <w:vAlign w:val="center"/>
          </w:tcPr>
          <w:p w14:paraId="7D4DA5A3">
            <w:pPr>
              <w:autoSpaceDE w:val="0"/>
              <w:autoSpaceDN w:val="0"/>
              <w:adjustRightInd w:val="0"/>
              <w:spacing w:line="360" w:lineRule="exact"/>
              <w:jc w:val="center"/>
              <w:rPr>
                <w:rFonts w:hint="eastAsia" w:asciiTheme="minorEastAsia" w:hAnsiTheme="minorEastAsia" w:eastAsiaTheme="minorEastAsia"/>
                <w:color w:val="000000"/>
                <w:spacing w:val="-6"/>
                <w:szCs w:val="21"/>
                <w:highlight w:val="none"/>
              </w:rPr>
            </w:pPr>
            <w:r>
              <w:rPr>
                <w:rFonts w:hint="eastAsia" w:asciiTheme="minorEastAsia" w:hAnsiTheme="minorEastAsia" w:eastAsiaTheme="minorEastAsia"/>
                <w:color w:val="000000"/>
                <w:spacing w:val="-6"/>
                <w:szCs w:val="21"/>
                <w:highlight w:val="none"/>
              </w:rPr>
              <w:t>5分</w:t>
            </w:r>
          </w:p>
        </w:tc>
        <w:tc>
          <w:tcPr>
            <w:tcW w:w="2918" w:type="pct"/>
            <w:tcBorders>
              <w:top w:val="single" w:color="auto" w:sz="4" w:space="0"/>
              <w:left w:val="single" w:color="auto" w:sz="4" w:space="0"/>
              <w:bottom w:val="single" w:color="auto" w:sz="4" w:space="0"/>
              <w:right w:val="single" w:color="auto" w:sz="4" w:space="0"/>
            </w:tcBorders>
            <w:vAlign w:val="center"/>
          </w:tcPr>
          <w:p w14:paraId="26D86311">
            <w:pPr>
              <w:snapToGrid w:val="0"/>
              <w:spacing w:line="360" w:lineRule="exact"/>
              <w:jc w:val="left"/>
              <w:rPr>
                <w:rFonts w:hint="eastAsia" w:asciiTheme="minorEastAsia" w:hAnsiTheme="minorEastAsia" w:eastAsiaTheme="minorEastAsia"/>
                <w:spacing w:val="-6"/>
                <w:szCs w:val="21"/>
                <w:highlight w:val="none"/>
              </w:rPr>
            </w:pPr>
            <w:r>
              <w:rPr>
                <w:rFonts w:hint="eastAsia" w:asciiTheme="minorEastAsia" w:hAnsiTheme="minorEastAsia" w:eastAsiaTheme="minorEastAsia"/>
                <w:color w:val="000000"/>
                <w:spacing w:val="-6"/>
                <w:szCs w:val="21"/>
                <w:highlight w:val="none"/>
              </w:rPr>
              <w:t>合理、全面、有效</w:t>
            </w:r>
            <w:r>
              <w:rPr>
                <w:rFonts w:hint="eastAsia" w:cs="宋体" w:asciiTheme="minorEastAsia" w:hAnsiTheme="minorEastAsia" w:eastAsiaTheme="minorEastAsia"/>
                <w:color w:val="000000"/>
                <w:szCs w:val="21"/>
                <w:highlight w:val="none"/>
                <w:lang w:val="zh-CN"/>
              </w:rPr>
              <w:t>得</w:t>
            </w:r>
            <w:r>
              <w:rPr>
                <w:rFonts w:cs="宋体" w:asciiTheme="minorEastAsia" w:hAnsiTheme="minorEastAsia" w:eastAsiaTheme="minorEastAsia"/>
                <w:color w:val="000000"/>
                <w:szCs w:val="21"/>
                <w:highlight w:val="none"/>
                <w:lang w:val="zh-CN"/>
              </w:rPr>
              <w:t>5</w:t>
            </w:r>
            <w:r>
              <w:rPr>
                <w:rFonts w:hint="eastAsia" w:cs="宋体" w:asciiTheme="minorEastAsia" w:hAnsiTheme="minorEastAsia" w:eastAsiaTheme="minorEastAsia"/>
                <w:color w:val="000000"/>
                <w:szCs w:val="21"/>
                <w:highlight w:val="none"/>
                <w:lang w:val="zh-CN"/>
              </w:rPr>
              <w:t>分，其他情况</w:t>
            </w:r>
            <w:r>
              <w:rPr>
                <w:rFonts w:hint="eastAsia" w:asciiTheme="minorEastAsia" w:hAnsiTheme="minorEastAsia" w:eastAsiaTheme="minorEastAsia"/>
                <w:color w:val="000000"/>
                <w:highlight w:val="none"/>
              </w:rPr>
              <w:t>酌情扣分，最低得</w:t>
            </w:r>
            <w:r>
              <w:rPr>
                <w:rFonts w:asciiTheme="minorEastAsia" w:hAnsiTheme="minorEastAsia" w:eastAsiaTheme="minorEastAsia"/>
                <w:color w:val="000000"/>
                <w:highlight w:val="none"/>
              </w:rPr>
              <w:t>3</w:t>
            </w:r>
            <w:r>
              <w:rPr>
                <w:rFonts w:hint="eastAsia" w:asciiTheme="minorEastAsia" w:hAnsiTheme="minorEastAsia" w:eastAsiaTheme="minorEastAsia"/>
                <w:color w:val="000000"/>
                <w:highlight w:val="none"/>
              </w:rPr>
              <w:t>分</w:t>
            </w:r>
            <w:r>
              <w:rPr>
                <w:rFonts w:asciiTheme="minorEastAsia" w:hAnsiTheme="minorEastAsia" w:eastAsiaTheme="minorEastAsia"/>
                <w:color w:val="000000"/>
                <w:highlight w:val="none"/>
              </w:rPr>
              <w:t>。</w:t>
            </w:r>
          </w:p>
        </w:tc>
      </w:tr>
      <w:bookmarkEnd w:id="32"/>
      <w:tr w14:paraId="213C4C81">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971" w:hRule="atLeast"/>
        </w:trPr>
        <w:tc>
          <w:tcPr>
            <w:tcW w:w="464" w:type="pct"/>
            <w:vMerge w:val="restart"/>
            <w:tcBorders>
              <w:top w:val="single" w:color="auto" w:sz="4" w:space="0"/>
              <w:left w:val="single" w:color="auto" w:sz="4" w:space="0"/>
              <w:bottom w:val="single" w:color="auto" w:sz="4" w:space="0"/>
              <w:right w:val="single" w:color="auto" w:sz="4" w:space="0"/>
            </w:tcBorders>
            <w:vAlign w:val="center"/>
          </w:tcPr>
          <w:p w14:paraId="515132FA">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2.2.4</w:t>
            </w:r>
          </w:p>
          <w:p w14:paraId="331D8227">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(2)</w:t>
            </w:r>
          </w:p>
        </w:tc>
        <w:tc>
          <w:tcPr>
            <w:tcW w:w="521" w:type="pct"/>
            <w:vMerge w:val="restart"/>
            <w:tcBorders>
              <w:top w:val="single" w:color="auto" w:sz="4" w:space="0"/>
              <w:left w:val="single" w:color="auto" w:sz="4" w:space="0"/>
              <w:bottom w:val="single" w:color="auto" w:sz="4" w:space="0"/>
              <w:right w:val="single" w:color="auto" w:sz="4" w:space="0"/>
            </w:tcBorders>
            <w:vAlign w:val="center"/>
          </w:tcPr>
          <w:p w14:paraId="0E16EA23">
            <w:pPr>
              <w:spacing w:line="360" w:lineRule="exact"/>
              <w:jc w:val="center"/>
              <w:rPr>
                <w:rFonts w:hint="eastAsia" w:ascii="黑体" w:hAnsi="黑体" w:eastAsia="黑体"/>
                <w:color w:val="000000"/>
                <w:highlight w:val="none"/>
              </w:rPr>
            </w:pPr>
            <w:r>
              <w:rPr>
                <w:rFonts w:hint="eastAsia" w:ascii="黑体" w:hAnsi="黑体" w:eastAsia="黑体"/>
                <w:color w:val="000000"/>
                <w:highlight w:val="none"/>
              </w:rPr>
              <w:t>B</w:t>
            </w:r>
          </w:p>
          <w:p w14:paraId="2020FDA2">
            <w:pPr>
              <w:spacing w:line="360" w:lineRule="exact"/>
              <w:jc w:val="center"/>
              <w:rPr>
                <w:rFonts w:hint="eastAsia" w:ascii="黑体" w:hAnsi="黑体" w:eastAsia="黑体"/>
                <w:color w:val="000000"/>
                <w:highlight w:val="none"/>
              </w:rPr>
            </w:pPr>
            <w:r>
              <w:rPr>
                <w:rFonts w:ascii="黑体" w:hAnsi="黑体" w:eastAsia="黑体"/>
                <w:color w:val="000000"/>
                <w:highlight w:val="none"/>
              </w:rPr>
              <w:t>项目管理机构评分标准</w:t>
            </w:r>
          </w:p>
          <w:p w14:paraId="2CAEFD2E">
            <w:pPr>
              <w:spacing w:line="360" w:lineRule="exact"/>
              <w:jc w:val="center"/>
              <w:rPr>
                <w:rFonts w:hint="eastAsia" w:asciiTheme="minorEastAsia" w:hAnsiTheme="minorEastAsia" w:eastAsiaTheme="minorEastAsia"/>
                <w:color w:val="000000"/>
                <w:highlight w:val="none"/>
              </w:rPr>
            </w:pPr>
            <w:r>
              <w:rPr>
                <w:rFonts w:hint="eastAsia" w:ascii="黑体" w:hAnsi="黑体" w:eastAsia="黑体"/>
                <w:color w:val="000000"/>
                <w:highlight w:val="none"/>
              </w:rPr>
              <w:t>（1</w:t>
            </w:r>
            <w:r>
              <w:rPr>
                <w:rFonts w:ascii="黑体" w:hAnsi="黑体" w:eastAsia="黑体"/>
                <w:color w:val="000000"/>
                <w:highlight w:val="none"/>
              </w:rPr>
              <w:t>0</w:t>
            </w:r>
            <w:r>
              <w:rPr>
                <w:rFonts w:hint="eastAsia" w:ascii="黑体" w:hAnsi="黑体" w:eastAsia="黑体"/>
                <w:color w:val="000000"/>
                <w:highlight w:val="none"/>
              </w:rPr>
              <w:t>分）</w:t>
            </w:r>
          </w:p>
        </w:tc>
        <w:tc>
          <w:tcPr>
            <w:tcW w:w="841" w:type="pct"/>
            <w:tcBorders>
              <w:top w:val="single" w:color="auto" w:sz="4" w:space="0"/>
              <w:left w:val="single" w:color="auto" w:sz="4" w:space="0"/>
              <w:bottom w:val="single" w:color="auto" w:sz="4" w:space="0"/>
              <w:right w:val="single" w:color="auto" w:sz="4" w:space="0"/>
            </w:tcBorders>
            <w:vAlign w:val="center"/>
          </w:tcPr>
          <w:p w14:paraId="50339292">
            <w:pPr>
              <w:adjustRightInd w:val="0"/>
              <w:snapToGrid w:val="0"/>
              <w:spacing w:line="360" w:lineRule="exact"/>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项目经理任职</w:t>
            </w:r>
          </w:p>
          <w:p w14:paraId="658AC21B">
            <w:pPr>
              <w:adjustRightInd w:val="0"/>
              <w:snapToGrid w:val="0"/>
              <w:spacing w:line="360" w:lineRule="exact"/>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资格与业绩</w:t>
            </w:r>
          </w:p>
        </w:tc>
        <w:tc>
          <w:tcPr>
            <w:tcW w:w="256" w:type="pct"/>
            <w:tcBorders>
              <w:top w:val="single" w:color="auto" w:sz="4" w:space="0"/>
              <w:left w:val="single" w:color="auto" w:sz="4" w:space="0"/>
              <w:bottom w:val="single" w:color="auto" w:sz="4" w:space="0"/>
              <w:right w:val="single" w:color="auto" w:sz="4" w:space="0"/>
            </w:tcBorders>
            <w:vAlign w:val="center"/>
          </w:tcPr>
          <w:p w14:paraId="17456233">
            <w:pPr>
              <w:adjustRightInd w:val="0"/>
              <w:snapToGrid w:val="0"/>
              <w:spacing w:line="360" w:lineRule="exact"/>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5分</w:t>
            </w:r>
          </w:p>
        </w:tc>
        <w:tc>
          <w:tcPr>
            <w:tcW w:w="2918" w:type="pct"/>
            <w:tcBorders>
              <w:top w:val="single" w:color="auto" w:sz="4" w:space="0"/>
              <w:left w:val="single" w:color="auto" w:sz="4" w:space="0"/>
              <w:bottom w:val="single" w:color="auto" w:sz="4" w:space="0"/>
              <w:right w:val="single" w:color="auto" w:sz="4" w:space="0"/>
            </w:tcBorders>
            <w:vAlign w:val="center"/>
          </w:tcPr>
          <w:p w14:paraId="5BD4F094">
            <w:pPr>
              <w:adjustRightInd w:val="0"/>
              <w:snapToGrid w:val="0"/>
              <w:spacing w:line="360" w:lineRule="exact"/>
              <w:ind w:left="246" w:leftChars="67" w:right="141" w:rightChars="67" w:hanging="105" w:hangingChars="50"/>
              <w:jc w:val="left"/>
              <w:rPr>
                <w:rFonts w:hint="eastAsia" w:ascii="宋体" w:hAnsi="宋体"/>
                <w:szCs w:val="21"/>
                <w:highlight w:val="none"/>
              </w:rPr>
            </w:pPr>
            <w:r>
              <w:rPr>
                <w:rFonts w:hint="eastAsia" w:ascii="宋体" w:hAnsi="宋体"/>
                <w:szCs w:val="21"/>
                <w:highlight w:val="none"/>
              </w:rPr>
              <w:t>满足项目经理最低资格条件得</w:t>
            </w:r>
            <w:r>
              <w:rPr>
                <w:rFonts w:ascii="宋体" w:hAnsi="宋体"/>
                <w:szCs w:val="21"/>
                <w:highlight w:val="none"/>
              </w:rPr>
              <w:t>3</w:t>
            </w:r>
            <w:r>
              <w:rPr>
                <w:rFonts w:hint="eastAsia" w:ascii="宋体" w:hAnsi="宋体"/>
                <w:szCs w:val="21"/>
                <w:highlight w:val="none"/>
              </w:rPr>
              <w:t>分；有1个有效的项目经理业绩加</w:t>
            </w:r>
            <w:r>
              <w:rPr>
                <w:rFonts w:ascii="宋体" w:hAnsi="宋体"/>
                <w:szCs w:val="21"/>
                <w:highlight w:val="none"/>
              </w:rPr>
              <w:t>1</w:t>
            </w:r>
            <w:r>
              <w:rPr>
                <w:rFonts w:hint="eastAsia" w:ascii="宋体" w:hAnsi="宋体"/>
                <w:szCs w:val="21"/>
                <w:highlight w:val="none"/>
              </w:rPr>
              <w:t>分，最多加</w:t>
            </w:r>
            <w:r>
              <w:rPr>
                <w:rFonts w:ascii="宋体" w:hAnsi="宋体"/>
                <w:szCs w:val="21"/>
                <w:highlight w:val="none"/>
              </w:rPr>
              <w:t>2</w:t>
            </w:r>
            <w:r>
              <w:rPr>
                <w:rFonts w:hint="eastAsia" w:ascii="宋体" w:hAnsi="宋体"/>
                <w:szCs w:val="21"/>
                <w:highlight w:val="none"/>
              </w:rPr>
              <w:t>分。</w:t>
            </w:r>
          </w:p>
          <w:p w14:paraId="131E447F">
            <w:pPr>
              <w:adjustRightInd w:val="0"/>
              <w:snapToGrid w:val="0"/>
              <w:spacing w:line="360" w:lineRule="exact"/>
              <w:ind w:left="141" w:leftChars="67" w:right="141" w:rightChars="67" w:firstLine="420" w:firstLineChars="200"/>
              <w:jc w:val="left"/>
              <w:rPr>
                <w:rFonts w:hint="eastAsia" w:asciiTheme="minorEastAsia" w:hAnsiTheme="minorEastAsia" w:eastAsiaTheme="minorEastAsia"/>
                <w:szCs w:val="21"/>
                <w:highlight w:val="none"/>
              </w:rPr>
            </w:pPr>
            <w:r>
              <w:rPr>
                <w:rFonts w:asciiTheme="minorEastAsia" w:hAnsiTheme="minorEastAsia" w:eastAsiaTheme="minorEastAsia"/>
                <w:szCs w:val="21"/>
                <w:highlight w:val="none"/>
              </w:rPr>
              <w:t>项目经理</w:t>
            </w:r>
            <w:r>
              <w:rPr>
                <w:rFonts w:hint="eastAsia" w:asciiTheme="minorEastAsia" w:hAnsiTheme="minorEastAsia" w:eastAsiaTheme="minorEastAsia"/>
                <w:szCs w:val="21"/>
                <w:highlight w:val="none"/>
              </w:rPr>
              <w:t>有效业绩是指以</w:t>
            </w:r>
            <w:r>
              <w:rPr>
                <w:rFonts w:ascii="黑体" w:hAnsi="黑体" w:eastAsia="黑体"/>
                <w:szCs w:val="21"/>
                <w:highlight w:val="none"/>
              </w:rPr>
              <w:t>项目经理身份</w:t>
            </w:r>
            <w:r>
              <w:rPr>
                <w:rFonts w:asciiTheme="minorEastAsia" w:hAnsiTheme="minorEastAsia" w:eastAsiaTheme="minorEastAsia"/>
                <w:szCs w:val="21"/>
                <w:highlight w:val="none"/>
              </w:rPr>
              <w:t>主持过</w:t>
            </w:r>
            <w:r>
              <w:rPr>
                <w:rFonts w:hint="eastAsia" w:asciiTheme="minorEastAsia" w:hAnsiTheme="minorEastAsia" w:eastAsiaTheme="minorEastAsia"/>
                <w:szCs w:val="21"/>
                <w:highlight w:val="none"/>
              </w:rPr>
              <w:t>单项合同金额人民币2000万元及以上送电线路工程的施工</w:t>
            </w:r>
            <w:r>
              <w:rPr>
                <w:rFonts w:hint="eastAsia" w:ascii="宋体" w:hAnsi="宋体"/>
                <w:szCs w:val="21"/>
                <w:highlight w:val="none"/>
              </w:rPr>
              <w:t>业绩（项目经理业绩年限不做要求）</w:t>
            </w:r>
            <w:r>
              <w:rPr>
                <w:rFonts w:hint="eastAsia" w:asciiTheme="minorEastAsia" w:hAnsiTheme="minorEastAsia" w:eastAsiaTheme="minorEastAsia"/>
                <w:szCs w:val="21"/>
                <w:highlight w:val="none"/>
              </w:rPr>
              <w:t>。</w:t>
            </w:r>
          </w:p>
          <w:p w14:paraId="0B3670BD">
            <w:pPr>
              <w:spacing w:line="360" w:lineRule="exact"/>
              <w:ind w:firstLine="411" w:firstLineChars="196"/>
              <w:rPr>
                <w:rFonts w:hint="eastAsia" w:ascii="宋体" w:hAnsi="宋体" w:cs="宋体"/>
                <w:szCs w:val="21"/>
                <w:highlight w:val="none"/>
              </w:rPr>
            </w:pPr>
            <w:r>
              <w:rPr>
                <w:rFonts w:hint="eastAsia"/>
                <w:highlight w:val="none"/>
              </w:rPr>
              <w:t>标书内附</w:t>
            </w:r>
            <w:r>
              <w:rPr>
                <w:rFonts w:hint="eastAsia"/>
                <w:highlight w:val="none"/>
                <w:lang w:val="zh-CN"/>
              </w:rPr>
              <w:t>加盖公章的扫描件（提供合同协议书或竣工验收报告，</w:t>
            </w:r>
            <w:r>
              <w:rPr>
                <w:rFonts w:hint="eastAsia" w:asciiTheme="minorEastAsia" w:hAnsiTheme="minorEastAsia" w:eastAsiaTheme="minorEastAsia"/>
                <w:highlight w:val="none"/>
                <w:lang w:val="zh-CN"/>
              </w:rPr>
              <w:t>或</w:t>
            </w:r>
            <w:r>
              <w:rPr>
                <w:rFonts w:hint="eastAsia" w:cs="宋体" w:asciiTheme="minorEastAsia" w:hAnsiTheme="minorEastAsia" w:eastAsiaTheme="minorEastAsia"/>
                <w:szCs w:val="21"/>
                <w:highlight w:val="none"/>
              </w:rPr>
              <w:t>提供</w:t>
            </w:r>
            <w:r>
              <w:rPr>
                <w:rFonts w:hint="eastAsia" w:ascii="宋体" w:hAnsi="宋体"/>
                <w:szCs w:val="21"/>
                <w:highlight w:val="none"/>
              </w:rPr>
              <w:t>“省级建筑市场监管一体化工作平台”或“省级建筑市场监管公共服务平台”或“全国建筑市场监管公共服务平台”</w:t>
            </w:r>
            <w:r>
              <w:rPr>
                <w:rFonts w:hint="eastAsia" w:ascii="宋体" w:hAnsi="宋体" w:cs="宋体"/>
                <w:szCs w:val="21"/>
                <w:highlight w:val="none"/>
              </w:rPr>
              <w:t>业绩网页截图）。</w:t>
            </w:r>
          </w:p>
          <w:p w14:paraId="428FC9C4">
            <w:pPr>
              <w:spacing w:line="360" w:lineRule="exact"/>
              <w:ind w:firstLine="411" w:firstLineChars="196"/>
              <w:rPr>
                <w:rFonts w:hint="eastAsia" w:ascii="宋体" w:hAnsi="宋体"/>
                <w:szCs w:val="21"/>
                <w:highlight w:val="none"/>
              </w:rPr>
            </w:pPr>
            <w:r>
              <w:rPr>
                <w:rFonts w:hint="eastAsia" w:ascii="宋体" w:hAnsi="宋体" w:cs="宋体"/>
                <w:szCs w:val="21"/>
                <w:highlight w:val="none"/>
              </w:rPr>
              <w:t>证明材料</w:t>
            </w:r>
            <w:r>
              <w:rPr>
                <w:rFonts w:hint="eastAsia" w:ascii="黑体" w:hAnsi="黑体" w:eastAsia="黑体" w:cs="宋体"/>
                <w:szCs w:val="21"/>
                <w:highlight w:val="none"/>
              </w:rPr>
              <w:t>须体现项目名称、</w:t>
            </w:r>
            <w:r>
              <w:rPr>
                <w:rFonts w:hint="eastAsia" w:ascii="黑体" w:hAnsi="黑体" w:eastAsia="黑体"/>
                <w:color w:val="000000"/>
                <w:szCs w:val="21"/>
                <w:highlight w:val="none"/>
              </w:rPr>
              <w:t>项目经理姓名、合同金额</w:t>
            </w:r>
            <w:r>
              <w:rPr>
                <w:rFonts w:hint="eastAsia" w:ascii="宋体" w:hAnsi="宋体" w:cs="宋体"/>
                <w:szCs w:val="21"/>
                <w:highlight w:val="none"/>
              </w:rPr>
              <w:t>。</w:t>
            </w:r>
          </w:p>
        </w:tc>
      </w:tr>
      <w:tr w14:paraId="7513E90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37" w:hRule="atLeast"/>
        </w:trPr>
        <w:tc>
          <w:tcPr>
            <w:tcW w:w="464" w:type="pct"/>
            <w:vMerge w:val="continue"/>
            <w:tcBorders>
              <w:top w:val="single" w:color="auto" w:sz="4" w:space="0"/>
              <w:left w:val="single" w:color="auto" w:sz="4" w:space="0"/>
              <w:bottom w:val="single" w:color="auto" w:sz="4" w:space="0"/>
              <w:right w:val="single" w:color="auto" w:sz="4" w:space="0"/>
            </w:tcBorders>
            <w:vAlign w:val="center"/>
          </w:tcPr>
          <w:p w14:paraId="214FC4B6">
            <w:pPr>
              <w:spacing w:line="360" w:lineRule="exact"/>
              <w:jc w:val="left"/>
              <w:rPr>
                <w:rFonts w:hint="eastAsia" w:asciiTheme="minorEastAsia" w:hAnsiTheme="minorEastAsia" w:eastAsiaTheme="minorEastAsia"/>
                <w:color w:val="000000"/>
                <w:highlight w:val="none"/>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0C3A3769">
            <w:pPr>
              <w:spacing w:line="360" w:lineRule="exact"/>
              <w:jc w:val="center"/>
              <w:rPr>
                <w:rFonts w:hint="eastAsia" w:asciiTheme="minorEastAsia" w:hAnsiTheme="minorEastAsia" w:eastAsiaTheme="minorEastAsia"/>
                <w:color w:val="000000"/>
                <w:highlight w:val="none"/>
              </w:rPr>
            </w:pPr>
          </w:p>
        </w:tc>
        <w:tc>
          <w:tcPr>
            <w:tcW w:w="841" w:type="pct"/>
            <w:tcBorders>
              <w:top w:val="single" w:color="auto" w:sz="4" w:space="0"/>
              <w:left w:val="single" w:color="auto" w:sz="4" w:space="0"/>
              <w:bottom w:val="single" w:color="auto" w:sz="4" w:space="0"/>
              <w:right w:val="single" w:color="auto" w:sz="4" w:space="0"/>
            </w:tcBorders>
            <w:vAlign w:val="center"/>
          </w:tcPr>
          <w:p w14:paraId="306C80F3">
            <w:pPr>
              <w:adjustRightInd w:val="0"/>
              <w:snapToGrid w:val="0"/>
              <w:spacing w:line="360" w:lineRule="exact"/>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技术负责人任职</w:t>
            </w:r>
          </w:p>
          <w:p w14:paraId="4D9BC0E5">
            <w:pPr>
              <w:adjustRightInd w:val="0"/>
              <w:snapToGrid w:val="0"/>
              <w:spacing w:line="360" w:lineRule="exact"/>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资格与业绩</w:t>
            </w:r>
          </w:p>
        </w:tc>
        <w:tc>
          <w:tcPr>
            <w:tcW w:w="256" w:type="pct"/>
            <w:tcBorders>
              <w:top w:val="single" w:color="auto" w:sz="4" w:space="0"/>
              <w:left w:val="single" w:color="auto" w:sz="4" w:space="0"/>
              <w:bottom w:val="single" w:color="auto" w:sz="4" w:space="0"/>
              <w:right w:val="single" w:color="auto" w:sz="4" w:space="0"/>
            </w:tcBorders>
            <w:vAlign w:val="center"/>
          </w:tcPr>
          <w:p w14:paraId="6B43EA21">
            <w:pPr>
              <w:adjustRightInd w:val="0"/>
              <w:snapToGrid w:val="0"/>
              <w:spacing w:line="360" w:lineRule="exact"/>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5分</w:t>
            </w:r>
          </w:p>
        </w:tc>
        <w:tc>
          <w:tcPr>
            <w:tcW w:w="2918" w:type="pct"/>
            <w:tcBorders>
              <w:top w:val="single" w:color="auto" w:sz="4" w:space="0"/>
              <w:left w:val="single" w:color="auto" w:sz="4" w:space="0"/>
              <w:bottom w:val="single" w:color="auto" w:sz="4" w:space="0"/>
              <w:right w:val="single" w:color="auto" w:sz="4" w:space="0"/>
            </w:tcBorders>
            <w:vAlign w:val="center"/>
          </w:tcPr>
          <w:p w14:paraId="2779E522">
            <w:pPr>
              <w:adjustRightInd w:val="0"/>
              <w:snapToGrid w:val="0"/>
              <w:spacing w:line="360" w:lineRule="exact"/>
              <w:ind w:left="141" w:leftChars="67" w:right="141" w:rightChars="67"/>
              <w:jc w:val="left"/>
              <w:rPr>
                <w:rFonts w:hint="eastAsia" w:ascii="宋体" w:hAnsi="宋体"/>
                <w:szCs w:val="21"/>
                <w:highlight w:val="none"/>
              </w:rPr>
            </w:pPr>
            <w:r>
              <w:rPr>
                <w:rFonts w:hint="eastAsia" w:ascii="宋体" w:hAnsi="宋体"/>
                <w:szCs w:val="21"/>
                <w:highlight w:val="none"/>
              </w:rPr>
              <w:t>满足技术负责人最低资格条件得</w:t>
            </w:r>
            <w:r>
              <w:rPr>
                <w:rFonts w:ascii="宋体" w:hAnsi="宋体"/>
                <w:szCs w:val="21"/>
                <w:highlight w:val="none"/>
              </w:rPr>
              <w:t>3</w:t>
            </w:r>
            <w:r>
              <w:rPr>
                <w:rFonts w:hint="eastAsia" w:ascii="宋体" w:hAnsi="宋体"/>
                <w:szCs w:val="21"/>
                <w:highlight w:val="none"/>
              </w:rPr>
              <w:t>分；有1个有效的技术负责人业绩加</w:t>
            </w:r>
            <w:r>
              <w:rPr>
                <w:rFonts w:ascii="宋体" w:hAnsi="宋体"/>
                <w:szCs w:val="21"/>
                <w:highlight w:val="none"/>
              </w:rPr>
              <w:t>1</w:t>
            </w:r>
            <w:r>
              <w:rPr>
                <w:rFonts w:hint="eastAsia" w:ascii="宋体" w:hAnsi="宋体"/>
                <w:szCs w:val="21"/>
                <w:highlight w:val="none"/>
              </w:rPr>
              <w:t>分，最多加</w:t>
            </w:r>
            <w:r>
              <w:rPr>
                <w:rFonts w:ascii="宋体" w:hAnsi="宋体"/>
                <w:szCs w:val="21"/>
                <w:highlight w:val="none"/>
              </w:rPr>
              <w:t>2</w:t>
            </w:r>
            <w:r>
              <w:rPr>
                <w:rFonts w:hint="eastAsia" w:ascii="宋体" w:hAnsi="宋体"/>
                <w:szCs w:val="21"/>
                <w:highlight w:val="none"/>
              </w:rPr>
              <w:t>分。</w:t>
            </w:r>
          </w:p>
          <w:p w14:paraId="0A58079F">
            <w:pPr>
              <w:adjustRightInd w:val="0"/>
              <w:snapToGrid w:val="0"/>
              <w:spacing w:line="360" w:lineRule="exact"/>
              <w:ind w:left="141" w:leftChars="67" w:right="141" w:rightChars="67" w:firstLine="420" w:firstLineChars="200"/>
              <w:jc w:val="lef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技术负责人有效业绩是指</w:t>
            </w:r>
            <w:r>
              <w:rPr>
                <w:rFonts w:hint="eastAsia" w:ascii="黑体" w:hAnsi="黑体" w:eastAsia="黑体"/>
                <w:szCs w:val="21"/>
                <w:highlight w:val="none"/>
              </w:rPr>
              <w:t>以</w:t>
            </w:r>
            <w:r>
              <w:rPr>
                <w:rFonts w:ascii="黑体" w:hAnsi="黑体" w:eastAsia="黑体"/>
                <w:szCs w:val="21"/>
                <w:highlight w:val="none"/>
              </w:rPr>
              <w:t>技术负责人身份</w:t>
            </w:r>
            <w:r>
              <w:rPr>
                <w:rFonts w:asciiTheme="minorEastAsia" w:hAnsiTheme="minorEastAsia" w:eastAsiaTheme="minorEastAsia"/>
                <w:szCs w:val="21"/>
                <w:highlight w:val="none"/>
              </w:rPr>
              <w:t>主持过</w:t>
            </w:r>
            <w:r>
              <w:rPr>
                <w:rFonts w:hint="eastAsia" w:asciiTheme="minorEastAsia" w:hAnsiTheme="minorEastAsia" w:eastAsiaTheme="minorEastAsia"/>
                <w:szCs w:val="21"/>
                <w:highlight w:val="none"/>
              </w:rPr>
              <w:t>单项合同金额人民币2000万元及以上送电线路工程的施工</w:t>
            </w:r>
            <w:r>
              <w:rPr>
                <w:rFonts w:hint="eastAsia" w:ascii="宋体" w:hAnsi="宋体"/>
                <w:szCs w:val="21"/>
                <w:highlight w:val="none"/>
              </w:rPr>
              <w:t>业绩（技术负责人业绩年限不做要求）</w:t>
            </w:r>
            <w:r>
              <w:rPr>
                <w:rFonts w:hint="eastAsia" w:asciiTheme="minorEastAsia" w:hAnsiTheme="minorEastAsia" w:eastAsiaTheme="minorEastAsia"/>
                <w:szCs w:val="21"/>
                <w:highlight w:val="none"/>
              </w:rPr>
              <w:t>。</w:t>
            </w:r>
          </w:p>
          <w:p w14:paraId="6E291010">
            <w:pPr>
              <w:spacing w:line="360" w:lineRule="exact"/>
              <w:ind w:firstLine="411" w:firstLineChars="196"/>
              <w:rPr>
                <w:rFonts w:hint="eastAsia" w:ascii="宋体" w:hAnsi="宋体" w:cs="宋体"/>
                <w:szCs w:val="21"/>
                <w:highlight w:val="none"/>
              </w:rPr>
            </w:pPr>
            <w:r>
              <w:rPr>
                <w:rFonts w:hint="eastAsia"/>
                <w:highlight w:val="none"/>
              </w:rPr>
              <w:t>标书内附</w:t>
            </w:r>
            <w:r>
              <w:rPr>
                <w:rFonts w:hint="eastAsia"/>
                <w:highlight w:val="none"/>
                <w:lang w:val="zh-CN"/>
              </w:rPr>
              <w:t>加盖公章的扫描件（提供合同协议书或竣工验收报告，</w:t>
            </w:r>
            <w:r>
              <w:rPr>
                <w:rFonts w:hint="eastAsia" w:asciiTheme="minorEastAsia" w:hAnsiTheme="minorEastAsia" w:eastAsiaTheme="minorEastAsia"/>
                <w:highlight w:val="none"/>
                <w:lang w:val="zh-CN"/>
              </w:rPr>
              <w:t>或</w:t>
            </w:r>
            <w:r>
              <w:rPr>
                <w:rFonts w:hint="eastAsia" w:cs="宋体" w:asciiTheme="minorEastAsia" w:hAnsiTheme="minorEastAsia" w:eastAsiaTheme="minorEastAsia"/>
                <w:szCs w:val="21"/>
                <w:highlight w:val="none"/>
              </w:rPr>
              <w:t>提供</w:t>
            </w:r>
            <w:r>
              <w:rPr>
                <w:rFonts w:hint="eastAsia" w:ascii="宋体" w:hAnsi="宋体"/>
                <w:szCs w:val="21"/>
                <w:highlight w:val="none"/>
              </w:rPr>
              <w:t>“省级建筑市场监管一体化工作平台”或“省级建筑市场监管公共服务平台”或“全国建筑市场监管公共服务平台”</w:t>
            </w:r>
            <w:r>
              <w:rPr>
                <w:rFonts w:hint="eastAsia" w:ascii="宋体" w:hAnsi="宋体" w:cs="宋体"/>
                <w:szCs w:val="21"/>
                <w:highlight w:val="none"/>
              </w:rPr>
              <w:t>业绩网页截图）。</w:t>
            </w:r>
          </w:p>
          <w:p w14:paraId="385A2395">
            <w:pPr>
              <w:adjustRightInd w:val="0"/>
              <w:snapToGrid w:val="0"/>
              <w:spacing w:line="360" w:lineRule="exact"/>
              <w:ind w:right="141" w:rightChars="67" w:firstLine="420" w:firstLineChars="200"/>
              <w:jc w:val="left"/>
              <w:rPr>
                <w:rFonts w:hint="eastAsia" w:ascii="宋体" w:hAnsi="宋体"/>
                <w:szCs w:val="21"/>
                <w:highlight w:val="none"/>
              </w:rPr>
            </w:pPr>
            <w:r>
              <w:rPr>
                <w:rFonts w:hint="eastAsia" w:ascii="宋体" w:hAnsi="宋体" w:cs="宋体"/>
                <w:szCs w:val="21"/>
                <w:highlight w:val="none"/>
              </w:rPr>
              <w:t>证明材料</w:t>
            </w:r>
            <w:r>
              <w:rPr>
                <w:rFonts w:hint="eastAsia" w:ascii="黑体" w:hAnsi="黑体" w:eastAsia="黑体" w:cs="宋体"/>
                <w:szCs w:val="21"/>
                <w:highlight w:val="none"/>
              </w:rPr>
              <w:t>须体现项目名称、</w:t>
            </w:r>
            <w:r>
              <w:rPr>
                <w:rFonts w:hint="eastAsia" w:ascii="黑体" w:hAnsi="黑体" w:eastAsia="黑体"/>
                <w:color w:val="000000"/>
                <w:szCs w:val="21"/>
                <w:highlight w:val="none"/>
              </w:rPr>
              <w:t>技术负责人姓名、项目金额</w:t>
            </w:r>
            <w:r>
              <w:rPr>
                <w:rFonts w:hint="eastAsia" w:ascii="宋体" w:hAnsi="宋体" w:cs="宋体"/>
                <w:szCs w:val="21"/>
                <w:highlight w:val="none"/>
              </w:rPr>
              <w:t>。</w:t>
            </w:r>
          </w:p>
        </w:tc>
      </w:tr>
      <w:tr w14:paraId="3EFFCD8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tcBorders>
              <w:top w:val="single" w:color="auto" w:sz="4" w:space="0"/>
              <w:left w:val="single" w:color="auto" w:sz="4" w:space="0"/>
              <w:bottom w:val="single" w:color="auto" w:sz="4" w:space="0"/>
              <w:right w:val="single" w:color="auto" w:sz="4" w:space="0"/>
            </w:tcBorders>
            <w:vAlign w:val="center"/>
          </w:tcPr>
          <w:p w14:paraId="17DF08C9">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2.2.4</w:t>
            </w:r>
          </w:p>
          <w:p w14:paraId="6260C1B0">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(3)</w:t>
            </w:r>
          </w:p>
        </w:tc>
        <w:tc>
          <w:tcPr>
            <w:tcW w:w="521" w:type="pct"/>
            <w:tcBorders>
              <w:top w:val="single" w:color="auto" w:sz="4" w:space="0"/>
              <w:left w:val="single" w:color="auto" w:sz="4" w:space="0"/>
              <w:bottom w:val="single" w:color="auto" w:sz="4" w:space="0"/>
              <w:right w:val="single" w:color="auto" w:sz="4" w:space="0"/>
            </w:tcBorders>
            <w:vAlign w:val="center"/>
          </w:tcPr>
          <w:p w14:paraId="34F35F65">
            <w:pPr>
              <w:spacing w:line="360" w:lineRule="exact"/>
              <w:jc w:val="center"/>
              <w:rPr>
                <w:rFonts w:hint="eastAsia" w:ascii="黑体" w:hAnsi="黑体" w:eastAsia="黑体"/>
                <w:color w:val="000000"/>
                <w:highlight w:val="none"/>
              </w:rPr>
            </w:pPr>
            <w:r>
              <w:rPr>
                <w:rFonts w:hint="eastAsia" w:ascii="黑体" w:hAnsi="黑体" w:eastAsia="黑体"/>
                <w:color w:val="000000"/>
                <w:highlight w:val="none"/>
              </w:rPr>
              <w:t>C</w:t>
            </w:r>
          </w:p>
          <w:p w14:paraId="779F7317">
            <w:pPr>
              <w:spacing w:line="360" w:lineRule="exact"/>
              <w:jc w:val="center"/>
              <w:rPr>
                <w:rFonts w:hint="eastAsia" w:asciiTheme="minorEastAsia" w:hAnsiTheme="minorEastAsia" w:eastAsiaTheme="minorEastAsia"/>
                <w:color w:val="000000"/>
                <w:highlight w:val="none"/>
              </w:rPr>
            </w:pPr>
            <w:r>
              <w:rPr>
                <w:rFonts w:ascii="黑体" w:hAnsi="黑体" w:eastAsia="黑体"/>
                <w:color w:val="000000"/>
                <w:highlight w:val="none"/>
              </w:rPr>
              <w:t>投标报价评分标准</w:t>
            </w:r>
            <w:r>
              <w:rPr>
                <w:rFonts w:hint="eastAsia" w:ascii="黑体" w:hAnsi="黑体" w:eastAsia="黑体"/>
                <w:color w:val="000000"/>
                <w:highlight w:val="none"/>
              </w:rPr>
              <w:t xml:space="preserve">  （50分）</w:t>
            </w: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3B0F2B8C">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投标报价</w:t>
            </w:r>
          </w:p>
          <w:p w14:paraId="50066CCE">
            <w:pPr>
              <w:spacing w:line="360" w:lineRule="exact"/>
              <w:jc w:val="center"/>
              <w:rPr>
                <w:rFonts w:hint="eastAsia" w:asciiTheme="minorEastAsia" w:hAnsiTheme="minorEastAsia" w:eastAsiaTheme="minorEastAsia"/>
                <w:color w:val="000000"/>
                <w:highlight w:val="none"/>
              </w:rPr>
            </w:pPr>
            <w:r>
              <w:rPr>
                <w:rFonts w:hint="eastAsia" w:asciiTheme="minorEastAsia" w:hAnsiTheme="minorEastAsia" w:eastAsiaTheme="minorEastAsia"/>
                <w:color w:val="000000"/>
                <w:highlight w:val="none"/>
              </w:rPr>
              <w:t>（50分）</w:t>
            </w:r>
          </w:p>
        </w:tc>
        <w:tc>
          <w:tcPr>
            <w:tcW w:w="2918" w:type="pct"/>
            <w:tcBorders>
              <w:top w:val="single" w:color="auto" w:sz="4" w:space="0"/>
              <w:left w:val="single" w:color="auto" w:sz="4" w:space="0"/>
              <w:bottom w:val="single" w:color="auto" w:sz="4" w:space="0"/>
              <w:right w:val="single" w:color="auto" w:sz="4" w:space="0"/>
            </w:tcBorders>
            <w:vAlign w:val="center"/>
          </w:tcPr>
          <w:p w14:paraId="2188F799">
            <w:pPr>
              <w:adjustRightInd w:val="0"/>
              <w:snapToGrid w:val="0"/>
              <w:spacing w:line="360" w:lineRule="exact"/>
              <w:ind w:firstLine="210" w:firstLineChars="100"/>
              <w:textAlignment w:val="baseline"/>
              <w:rPr>
                <w:rFonts w:hint="eastAsia" w:ascii="宋体" w:hAnsi="宋体"/>
                <w:szCs w:val="21"/>
                <w:highlight w:val="none"/>
              </w:rPr>
            </w:pPr>
            <w:r>
              <w:rPr>
                <w:rFonts w:hint="eastAsia" w:ascii="宋体" w:hAnsi="宋体"/>
                <w:szCs w:val="21"/>
                <w:highlight w:val="none"/>
              </w:rPr>
              <w:t>（1）如果投标人的评标价＞评标基准价，则</w:t>
            </w:r>
          </w:p>
          <w:p w14:paraId="1E8F7D7A">
            <w:pPr>
              <w:adjustRightInd w:val="0"/>
              <w:snapToGrid w:val="0"/>
              <w:spacing w:line="360" w:lineRule="exact"/>
              <w:ind w:firstLine="210" w:firstLineChars="100"/>
              <w:jc w:val="center"/>
              <w:textAlignment w:val="baseline"/>
              <w:rPr>
                <w:rFonts w:hint="eastAsia" w:ascii="宋体" w:hAnsi="宋体"/>
                <w:szCs w:val="21"/>
                <w:highlight w:val="none"/>
              </w:rPr>
            </w:pPr>
            <w:r>
              <w:rPr>
                <w:rFonts w:hint="eastAsia" w:ascii="宋体" w:hAnsi="宋体"/>
                <w:szCs w:val="21"/>
                <w:highlight w:val="none"/>
              </w:rPr>
              <w:t>评标价得分 =</w:t>
            </w:r>
            <w:r>
              <w:rPr>
                <w:rFonts w:ascii="宋体" w:hAnsi="宋体"/>
                <w:szCs w:val="21"/>
                <w:highlight w:val="none"/>
              </w:rPr>
              <w:t>5</w:t>
            </w:r>
            <w:r>
              <w:rPr>
                <w:rFonts w:hint="eastAsia" w:ascii="宋体" w:hAnsi="宋体"/>
                <w:szCs w:val="21"/>
                <w:highlight w:val="none"/>
              </w:rPr>
              <w:t xml:space="preserve">0-偏差率 × 100× </w:t>
            </w:r>
            <w:r>
              <w:rPr>
                <w:rFonts w:ascii="宋体" w:hAnsi="宋体"/>
                <w:szCs w:val="21"/>
                <w:highlight w:val="none"/>
              </w:rPr>
              <w:t>0.</w:t>
            </w:r>
            <w:r>
              <w:rPr>
                <w:rFonts w:hint="eastAsia" w:ascii="宋体" w:hAnsi="宋体"/>
                <w:szCs w:val="21"/>
                <w:highlight w:val="none"/>
              </w:rPr>
              <w:t>2；</w:t>
            </w:r>
          </w:p>
          <w:p w14:paraId="01CD8372">
            <w:pPr>
              <w:adjustRightInd w:val="0"/>
              <w:snapToGrid w:val="0"/>
              <w:spacing w:line="360" w:lineRule="exact"/>
              <w:ind w:firstLine="210" w:firstLineChars="100"/>
              <w:textAlignment w:val="baseline"/>
              <w:rPr>
                <w:rFonts w:hint="eastAsia" w:ascii="宋体" w:hAnsi="宋体"/>
                <w:szCs w:val="21"/>
                <w:highlight w:val="none"/>
              </w:rPr>
            </w:pPr>
            <w:r>
              <w:rPr>
                <w:rFonts w:hint="eastAsia" w:ascii="宋体" w:hAnsi="宋体"/>
                <w:szCs w:val="21"/>
                <w:highlight w:val="none"/>
              </w:rPr>
              <w:t>（2）如果投标人的评标价≤评标基准价，则</w:t>
            </w:r>
          </w:p>
          <w:p w14:paraId="443862E3">
            <w:pPr>
              <w:adjustRightInd w:val="0"/>
              <w:snapToGrid w:val="0"/>
              <w:spacing w:line="360" w:lineRule="exact"/>
              <w:ind w:firstLine="210" w:firstLineChars="100"/>
              <w:jc w:val="center"/>
              <w:textAlignment w:val="baseline"/>
              <w:rPr>
                <w:rFonts w:hint="eastAsia" w:ascii="宋体" w:hAnsi="宋体"/>
                <w:szCs w:val="21"/>
                <w:highlight w:val="none"/>
              </w:rPr>
            </w:pPr>
            <w:r>
              <w:rPr>
                <w:rFonts w:hint="eastAsia" w:ascii="宋体" w:hAnsi="宋体"/>
                <w:szCs w:val="21"/>
                <w:highlight w:val="none"/>
              </w:rPr>
              <w:t>评标价得分 =</w:t>
            </w:r>
            <w:r>
              <w:rPr>
                <w:rFonts w:ascii="宋体" w:hAnsi="宋体"/>
                <w:szCs w:val="21"/>
                <w:highlight w:val="none"/>
              </w:rPr>
              <w:t>5</w:t>
            </w:r>
            <w:r>
              <w:rPr>
                <w:rFonts w:hint="eastAsia" w:ascii="宋体" w:hAnsi="宋体"/>
                <w:szCs w:val="21"/>
                <w:highlight w:val="none"/>
              </w:rPr>
              <w:t xml:space="preserve">0+偏差率 × 100× </w:t>
            </w:r>
            <w:r>
              <w:rPr>
                <w:rFonts w:ascii="宋体" w:hAnsi="宋体"/>
                <w:szCs w:val="21"/>
                <w:highlight w:val="none"/>
              </w:rPr>
              <w:t>0.</w:t>
            </w:r>
            <w:r>
              <w:rPr>
                <w:rFonts w:hint="eastAsia" w:ascii="宋体" w:hAnsi="宋体"/>
                <w:szCs w:val="21"/>
                <w:highlight w:val="none"/>
              </w:rPr>
              <w:t>1。</w:t>
            </w:r>
          </w:p>
          <w:p w14:paraId="42367A54">
            <w:pPr>
              <w:spacing w:line="360" w:lineRule="exact"/>
              <w:jc w:val="left"/>
              <w:rPr>
                <w:rFonts w:hint="eastAsia" w:asciiTheme="minorEastAsia" w:hAnsiTheme="minorEastAsia" w:eastAsiaTheme="minorEastAsia"/>
                <w:color w:val="000000"/>
                <w:highlight w:val="none"/>
              </w:rPr>
            </w:pPr>
            <w:r>
              <w:rPr>
                <w:rFonts w:hint="eastAsia" w:ascii="宋体" w:hAnsi="宋体"/>
                <w:szCs w:val="21"/>
                <w:highlight w:val="none"/>
              </w:rPr>
              <w:t>评标价得分最低得0分。</w:t>
            </w:r>
          </w:p>
        </w:tc>
      </w:tr>
      <w:tr w14:paraId="0E8CE26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64" w:type="pct"/>
            <w:tcBorders>
              <w:top w:val="single" w:color="auto" w:sz="4" w:space="0"/>
              <w:left w:val="single" w:color="auto" w:sz="4" w:space="0"/>
              <w:bottom w:val="single" w:color="auto" w:sz="4" w:space="0"/>
              <w:right w:val="single" w:color="auto" w:sz="4" w:space="0"/>
            </w:tcBorders>
            <w:vAlign w:val="center"/>
          </w:tcPr>
          <w:p w14:paraId="767C3B75">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2.2.4</w:t>
            </w:r>
          </w:p>
          <w:p w14:paraId="1701F709">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(4)</w:t>
            </w:r>
          </w:p>
        </w:tc>
        <w:tc>
          <w:tcPr>
            <w:tcW w:w="521" w:type="pct"/>
            <w:tcBorders>
              <w:top w:val="single" w:color="auto" w:sz="4" w:space="0"/>
              <w:left w:val="single" w:color="auto" w:sz="4" w:space="0"/>
              <w:bottom w:val="single" w:color="auto" w:sz="4" w:space="0"/>
              <w:right w:val="single" w:color="auto" w:sz="4" w:space="0"/>
            </w:tcBorders>
            <w:vAlign w:val="center"/>
          </w:tcPr>
          <w:p w14:paraId="416ECDBD">
            <w:pPr>
              <w:spacing w:line="360" w:lineRule="exact"/>
              <w:jc w:val="center"/>
              <w:rPr>
                <w:rFonts w:hint="eastAsia" w:ascii="黑体" w:hAnsi="黑体" w:eastAsia="黑体"/>
                <w:color w:val="000000"/>
                <w:highlight w:val="none"/>
              </w:rPr>
            </w:pPr>
            <w:r>
              <w:rPr>
                <w:rFonts w:hint="eastAsia" w:ascii="黑体" w:hAnsi="黑体" w:eastAsia="黑体"/>
                <w:color w:val="000000"/>
                <w:highlight w:val="none"/>
              </w:rPr>
              <w:t>D</w:t>
            </w:r>
          </w:p>
          <w:p w14:paraId="52D7B1B6">
            <w:pPr>
              <w:spacing w:line="360" w:lineRule="exact"/>
              <w:jc w:val="center"/>
              <w:rPr>
                <w:rFonts w:hint="eastAsia" w:asciiTheme="minorEastAsia" w:hAnsiTheme="minorEastAsia" w:eastAsiaTheme="minorEastAsia"/>
                <w:color w:val="000000"/>
                <w:highlight w:val="none"/>
              </w:rPr>
            </w:pPr>
            <w:r>
              <w:rPr>
                <w:rFonts w:ascii="黑体" w:hAnsi="黑体" w:eastAsia="黑体"/>
                <w:color w:val="000000"/>
                <w:highlight w:val="none"/>
              </w:rPr>
              <w:t>其他因素评分标准</w:t>
            </w:r>
            <w:r>
              <w:rPr>
                <w:rFonts w:hint="eastAsia" w:ascii="黑体" w:hAnsi="黑体" w:eastAsia="黑体"/>
                <w:color w:val="000000"/>
                <w:highlight w:val="none"/>
              </w:rPr>
              <w:t xml:space="preserve">  （</w:t>
            </w:r>
            <w:r>
              <w:rPr>
                <w:rFonts w:ascii="黑体" w:hAnsi="黑体" w:eastAsia="黑体"/>
                <w:color w:val="000000"/>
                <w:highlight w:val="none"/>
              </w:rPr>
              <w:t>10</w:t>
            </w:r>
            <w:r>
              <w:rPr>
                <w:rFonts w:hint="eastAsia" w:ascii="黑体" w:hAnsi="黑体" w:eastAsia="黑体"/>
                <w:color w:val="000000"/>
                <w:highlight w:val="none"/>
              </w:rPr>
              <w:t>分</w:t>
            </w:r>
            <w:r>
              <w:rPr>
                <w:rFonts w:hint="eastAsia" w:asciiTheme="minorEastAsia" w:hAnsiTheme="minorEastAsia" w:eastAsiaTheme="minorEastAsia"/>
                <w:color w:val="000000"/>
                <w:highlight w:val="none"/>
              </w:rPr>
              <w:t>）</w:t>
            </w:r>
          </w:p>
        </w:tc>
        <w:tc>
          <w:tcPr>
            <w:tcW w:w="1097" w:type="pct"/>
            <w:gridSpan w:val="2"/>
            <w:tcBorders>
              <w:top w:val="single" w:color="auto" w:sz="4" w:space="0"/>
              <w:left w:val="single" w:color="auto" w:sz="4" w:space="0"/>
              <w:bottom w:val="single" w:color="auto" w:sz="4" w:space="0"/>
              <w:right w:val="single" w:color="auto" w:sz="4" w:space="0"/>
            </w:tcBorders>
            <w:vAlign w:val="center"/>
          </w:tcPr>
          <w:p w14:paraId="37C97C18">
            <w:pPr>
              <w:spacing w:line="360" w:lineRule="exact"/>
              <w:jc w:val="center"/>
              <w:rPr>
                <w:rFonts w:hint="eastAsia" w:asciiTheme="minorEastAsia" w:hAnsiTheme="minorEastAsia" w:eastAsiaTheme="minorEastAsia"/>
                <w:color w:val="000000"/>
                <w:highlight w:val="none"/>
              </w:rPr>
            </w:pPr>
            <w:r>
              <w:rPr>
                <w:rFonts w:asciiTheme="minorEastAsia" w:hAnsiTheme="minorEastAsia" w:eastAsiaTheme="minorEastAsia"/>
                <w:color w:val="000000"/>
                <w:highlight w:val="none"/>
              </w:rPr>
              <w:t>类似工程经验</w:t>
            </w:r>
          </w:p>
          <w:p w14:paraId="47AA6A8D">
            <w:pPr>
              <w:spacing w:line="360" w:lineRule="exact"/>
              <w:jc w:val="center"/>
              <w:rPr>
                <w:rFonts w:hint="eastAsia" w:asciiTheme="minorEastAsia" w:hAnsiTheme="minorEastAsia" w:eastAsiaTheme="minorEastAsia"/>
                <w:color w:val="000000"/>
                <w:highlight w:val="none"/>
              </w:rPr>
            </w:pPr>
            <w:r>
              <w:rPr>
                <w:rFonts w:hint="eastAsia" w:asciiTheme="minorEastAsia" w:hAnsiTheme="minorEastAsia" w:eastAsiaTheme="minorEastAsia"/>
                <w:color w:val="000000"/>
                <w:highlight w:val="none"/>
              </w:rPr>
              <w:t>（</w:t>
            </w:r>
            <w:r>
              <w:rPr>
                <w:rFonts w:asciiTheme="minorEastAsia" w:hAnsiTheme="minorEastAsia" w:eastAsiaTheme="minorEastAsia"/>
                <w:color w:val="000000"/>
                <w:highlight w:val="none"/>
              </w:rPr>
              <w:t>10</w:t>
            </w:r>
            <w:r>
              <w:rPr>
                <w:rFonts w:hint="eastAsia" w:asciiTheme="minorEastAsia" w:hAnsiTheme="minorEastAsia" w:eastAsiaTheme="minorEastAsia"/>
                <w:color w:val="000000"/>
                <w:highlight w:val="none"/>
              </w:rPr>
              <w:t>分）</w:t>
            </w:r>
          </w:p>
        </w:tc>
        <w:tc>
          <w:tcPr>
            <w:tcW w:w="2918" w:type="pct"/>
            <w:tcBorders>
              <w:top w:val="single" w:color="auto" w:sz="4" w:space="0"/>
              <w:left w:val="single" w:color="auto" w:sz="4" w:space="0"/>
              <w:bottom w:val="single" w:color="auto" w:sz="4" w:space="0"/>
              <w:right w:val="single" w:color="auto" w:sz="4" w:space="0"/>
            </w:tcBorders>
            <w:vAlign w:val="center"/>
          </w:tcPr>
          <w:p w14:paraId="6FC68826">
            <w:pPr>
              <w:spacing w:line="360" w:lineRule="exact"/>
              <w:ind w:firstLine="420" w:firstLineChars="200"/>
              <w:jc w:val="left"/>
              <w:rPr>
                <w:rFonts w:hint="eastAsia" w:asciiTheme="minorEastAsia" w:hAnsiTheme="minorEastAsia" w:eastAsiaTheme="minorEastAsia"/>
                <w:color w:val="000000"/>
                <w:highlight w:val="none"/>
              </w:rPr>
            </w:pPr>
            <w:r>
              <w:rPr>
                <w:rFonts w:hint="eastAsia" w:asciiTheme="minorEastAsia" w:hAnsiTheme="minorEastAsia" w:eastAsiaTheme="minorEastAsia"/>
                <w:color w:val="000000"/>
                <w:highlight w:val="none"/>
              </w:rPr>
              <w:t>满足资格审查业绩最低条件（即1个有效业绩）得6分，每增加一个有效业绩加2分，最多加4分。</w:t>
            </w:r>
          </w:p>
          <w:p w14:paraId="2E620D58">
            <w:pPr>
              <w:spacing w:line="360" w:lineRule="exact"/>
              <w:ind w:firstLine="420" w:firstLineChars="200"/>
              <w:jc w:val="left"/>
              <w:rPr>
                <w:rFonts w:hint="eastAsia" w:asciiTheme="minorEastAsia" w:hAnsiTheme="minorEastAsia" w:eastAsiaTheme="minorEastAsia"/>
                <w:color w:val="000000"/>
                <w:highlight w:val="none"/>
              </w:rPr>
            </w:pPr>
            <w:r>
              <w:rPr>
                <w:rFonts w:hint="eastAsia" w:asciiTheme="minorEastAsia" w:hAnsiTheme="minorEastAsia" w:eastAsiaTheme="minorEastAsia"/>
                <w:color w:val="000000"/>
                <w:highlight w:val="none"/>
              </w:rPr>
              <w:t>注：有3个有效业绩即满分。</w:t>
            </w:r>
          </w:p>
          <w:p w14:paraId="02A6C669">
            <w:pPr>
              <w:spacing w:line="360" w:lineRule="exact"/>
              <w:ind w:firstLine="420" w:firstLineChars="200"/>
              <w:jc w:val="left"/>
              <w:rPr>
                <w:rFonts w:hint="eastAsia" w:ascii="宋体" w:hAnsi="宋体"/>
                <w:highlight w:val="none"/>
                <w:lang w:val="zh-CN"/>
              </w:rPr>
            </w:pPr>
            <w:r>
              <w:rPr>
                <w:rFonts w:hint="eastAsia" w:ascii="宋体" w:hAnsi="宋体"/>
                <w:szCs w:val="21"/>
                <w:highlight w:val="none"/>
              </w:rPr>
              <w:t>有效业绩</w:t>
            </w:r>
            <w:r>
              <w:rPr>
                <w:rFonts w:hint="eastAsia" w:ascii="宋体" w:hAnsi="宋体"/>
                <w:highlight w:val="none"/>
                <w:lang w:val="zh-CN"/>
              </w:rPr>
              <w:t>指自2023年1月1日至投标截止时间（以竣工时间为准）完成过单项合同额2000万元及以上</w:t>
            </w:r>
            <w:r>
              <w:rPr>
                <w:rFonts w:hint="eastAsia" w:ascii="黑体" w:hAnsi="黑体" w:eastAsia="黑体"/>
                <w:highlight w:val="none"/>
                <w:lang w:val="zh-CN"/>
              </w:rPr>
              <w:t>送</w:t>
            </w:r>
            <w:r>
              <w:rPr>
                <w:rFonts w:ascii="黑体" w:hAnsi="黑体" w:eastAsia="黑体"/>
                <w:highlight w:val="none"/>
                <w:lang w:val="zh-CN"/>
              </w:rPr>
              <w:t>电线路工程的</w:t>
            </w:r>
            <w:r>
              <w:rPr>
                <w:rFonts w:hint="eastAsia" w:ascii="宋体" w:hAnsi="宋体"/>
                <w:highlight w:val="none"/>
                <w:lang w:val="zh-CN"/>
              </w:rPr>
              <w:t>施工</w:t>
            </w:r>
            <w:r>
              <w:rPr>
                <w:rFonts w:hint="eastAsia" w:ascii="宋体" w:hAnsi="宋体"/>
                <w:szCs w:val="21"/>
                <w:highlight w:val="none"/>
              </w:rPr>
              <w:t>业绩</w:t>
            </w:r>
            <w:r>
              <w:rPr>
                <w:rFonts w:hint="eastAsia" w:ascii="宋体" w:hAnsi="宋体"/>
                <w:highlight w:val="none"/>
                <w:lang w:val="zh-CN"/>
              </w:rPr>
              <w:t>。</w:t>
            </w:r>
          </w:p>
          <w:p w14:paraId="53164AAA">
            <w:pPr>
              <w:spacing w:line="360" w:lineRule="exact"/>
              <w:ind w:firstLine="420" w:firstLineChars="200"/>
              <w:jc w:val="left"/>
              <w:rPr>
                <w:rFonts w:hint="eastAsia" w:cs="宋体" w:asciiTheme="minorEastAsia" w:hAnsiTheme="minorEastAsia" w:eastAsiaTheme="minorEastAsia"/>
                <w:szCs w:val="21"/>
                <w:highlight w:val="none"/>
              </w:rPr>
            </w:pPr>
            <w:r>
              <w:rPr>
                <w:rFonts w:hint="eastAsia"/>
                <w:highlight w:val="none"/>
              </w:rPr>
              <w:t>标书内附</w:t>
            </w:r>
            <w:r>
              <w:rPr>
                <w:rFonts w:hint="eastAsia"/>
                <w:highlight w:val="none"/>
                <w:lang w:val="zh-CN"/>
              </w:rPr>
              <w:t>加盖公章的扫描件</w:t>
            </w:r>
            <w:r>
              <w:rPr>
                <w:rFonts w:hint="eastAsia" w:asciiTheme="minorEastAsia" w:hAnsiTheme="minorEastAsia" w:eastAsiaTheme="minorEastAsia"/>
                <w:highlight w:val="none"/>
              </w:rPr>
              <w:t>（提供合同协议书或竣工验收报告</w:t>
            </w:r>
            <w:r>
              <w:rPr>
                <w:rFonts w:hint="eastAsia" w:asciiTheme="minorEastAsia" w:hAnsiTheme="minorEastAsia" w:eastAsiaTheme="minorEastAsia"/>
                <w:highlight w:val="none"/>
                <w:lang w:val="zh-CN"/>
              </w:rPr>
              <w:t>，或</w:t>
            </w:r>
            <w:r>
              <w:rPr>
                <w:rFonts w:hint="eastAsia" w:cs="宋体" w:asciiTheme="minorEastAsia" w:hAnsiTheme="minorEastAsia" w:eastAsiaTheme="minorEastAsia"/>
                <w:szCs w:val="21"/>
                <w:highlight w:val="none"/>
              </w:rPr>
              <w:t>提供</w:t>
            </w:r>
            <w:r>
              <w:rPr>
                <w:rFonts w:hint="eastAsia" w:ascii="宋体" w:hAnsi="宋体"/>
                <w:szCs w:val="21"/>
                <w:highlight w:val="none"/>
              </w:rPr>
              <w:t>“省级建筑市场监管一体化工作平台”或“省级建筑市场监管公共服务平台”或“全国建筑市场监管公共服务平台”</w:t>
            </w:r>
            <w:r>
              <w:rPr>
                <w:rFonts w:hint="eastAsia" w:ascii="宋体" w:hAnsi="宋体" w:cs="宋体"/>
                <w:szCs w:val="21"/>
                <w:highlight w:val="none"/>
              </w:rPr>
              <w:t>业绩网页截图）。</w:t>
            </w:r>
          </w:p>
          <w:p w14:paraId="193B2F28">
            <w:pPr>
              <w:spacing w:line="360" w:lineRule="exact"/>
              <w:ind w:firstLine="420" w:firstLineChars="200"/>
              <w:jc w:val="left"/>
              <w:rPr>
                <w:rFonts w:hint="eastAsia" w:asciiTheme="minorEastAsia" w:hAnsiTheme="minorEastAsia" w:eastAsiaTheme="minorEastAsia"/>
                <w:color w:val="000000"/>
                <w:highlight w:val="none"/>
              </w:rPr>
            </w:pPr>
            <w:r>
              <w:rPr>
                <w:rFonts w:hint="eastAsia" w:cs="宋体" w:asciiTheme="minorEastAsia" w:hAnsiTheme="minorEastAsia" w:eastAsiaTheme="minorEastAsia"/>
                <w:szCs w:val="21"/>
                <w:highlight w:val="none"/>
              </w:rPr>
              <w:t>证明材料</w:t>
            </w:r>
            <w:r>
              <w:rPr>
                <w:rFonts w:hint="eastAsia" w:ascii="黑体" w:hAnsi="黑体" w:eastAsia="黑体" w:cs="宋体"/>
                <w:szCs w:val="21"/>
                <w:highlight w:val="none"/>
              </w:rPr>
              <w:t>须体现项目名称、</w:t>
            </w:r>
            <w:r>
              <w:rPr>
                <w:rFonts w:hint="eastAsia" w:ascii="黑体" w:hAnsi="黑体" w:eastAsia="黑体"/>
                <w:color w:val="000000"/>
                <w:szCs w:val="21"/>
                <w:highlight w:val="none"/>
              </w:rPr>
              <w:t>竣工日期、合同金额</w:t>
            </w:r>
            <w:r>
              <w:rPr>
                <w:rFonts w:hint="eastAsia" w:ascii="宋体" w:hAnsi="宋体" w:cs="宋体"/>
                <w:szCs w:val="21"/>
                <w:highlight w:val="none"/>
              </w:rPr>
              <w:t>。</w:t>
            </w:r>
          </w:p>
        </w:tc>
      </w:tr>
      <w:tr w14:paraId="64C11B4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371" w:hRule="atLeast"/>
        </w:trPr>
        <w:tc>
          <w:tcPr>
            <w:tcW w:w="5000" w:type="pct"/>
            <w:gridSpan w:val="5"/>
            <w:tcBorders>
              <w:top w:val="single" w:color="auto" w:sz="4" w:space="0"/>
              <w:left w:val="single" w:color="auto" w:sz="4" w:space="0"/>
              <w:bottom w:val="single" w:color="auto" w:sz="4" w:space="0"/>
              <w:right w:val="single" w:color="auto" w:sz="4" w:space="0"/>
            </w:tcBorders>
            <w:vAlign w:val="center"/>
          </w:tcPr>
          <w:p w14:paraId="4DD57CB4">
            <w:pPr>
              <w:spacing w:line="360" w:lineRule="exact"/>
              <w:jc w:val="lef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注：</w:t>
            </w:r>
          </w:p>
          <w:p w14:paraId="121DDA96">
            <w:pPr>
              <w:spacing w:line="360" w:lineRule="exact"/>
              <w:ind w:firstLine="420" w:firstLineChars="200"/>
              <w:jc w:val="lef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单项合同金额指一个合同的合同额。</w:t>
            </w:r>
          </w:p>
          <w:p w14:paraId="1E577420">
            <w:pPr>
              <w:spacing w:line="360" w:lineRule="exact"/>
              <w:ind w:firstLine="420" w:firstLineChars="200"/>
              <w:jc w:val="left"/>
              <w:rPr>
                <w:rFonts w:hint="eastAsia" w:ascii="宋体" w:hAnsi="宋体"/>
                <w:szCs w:val="21"/>
                <w:highlight w:val="none"/>
              </w:rPr>
            </w:pPr>
            <w:r>
              <w:rPr>
                <w:rFonts w:hint="eastAsia" w:asciiTheme="minorEastAsia" w:hAnsiTheme="minorEastAsia" w:eastAsiaTheme="minorEastAsia"/>
                <w:szCs w:val="21"/>
                <w:highlight w:val="none"/>
              </w:rPr>
              <w:t>2</w:t>
            </w:r>
            <w:r>
              <w:rPr>
                <w:rFonts w:asciiTheme="minorEastAsia" w:hAnsiTheme="minorEastAsia" w:eastAsiaTheme="minorEastAsia"/>
                <w:szCs w:val="21"/>
                <w:highlight w:val="none"/>
              </w:rPr>
              <w:t>.</w:t>
            </w:r>
            <w:r>
              <w:rPr>
                <w:rFonts w:hint="eastAsia" w:ascii="黑体" w:hAnsi="黑体" w:eastAsia="黑体"/>
                <w:szCs w:val="21"/>
                <w:highlight w:val="none"/>
              </w:rPr>
              <w:t>评标委员会只对通过初步评审的投标文件进行详细评审</w:t>
            </w:r>
            <w:r>
              <w:rPr>
                <w:rFonts w:hint="eastAsia" w:ascii="宋体" w:hAnsi="宋体"/>
                <w:szCs w:val="21"/>
                <w:highlight w:val="none"/>
              </w:rPr>
              <w:t>，并按规定的评审因素和评分值进行评分，计算结果保留至小数点后两位，小数点后第三位“四舍五入”。</w:t>
            </w:r>
          </w:p>
          <w:p w14:paraId="1C0EBBFB">
            <w:pPr>
              <w:spacing w:line="360" w:lineRule="exact"/>
              <w:ind w:firstLine="420" w:firstLineChars="200"/>
              <w:jc w:val="left"/>
              <w:rPr>
                <w:rFonts w:hint="eastAsia" w:ascii="宋体" w:hAnsi="宋体"/>
                <w:szCs w:val="21"/>
                <w:highlight w:val="none"/>
              </w:rPr>
            </w:pPr>
            <w:r>
              <w:rPr>
                <w:rFonts w:hint="eastAsia" w:ascii="宋体" w:hAnsi="宋体"/>
                <w:szCs w:val="21"/>
                <w:highlight w:val="none"/>
              </w:rPr>
              <w:t>3</w:t>
            </w:r>
            <w:r>
              <w:rPr>
                <w:rFonts w:ascii="宋体" w:hAnsi="宋体"/>
                <w:szCs w:val="21"/>
                <w:highlight w:val="none"/>
              </w:rPr>
              <w:t>.</w:t>
            </w:r>
            <w:r>
              <w:rPr>
                <w:rFonts w:hint="eastAsia" w:ascii="宋体" w:hAnsi="宋体"/>
                <w:szCs w:val="21"/>
                <w:highlight w:val="none"/>
              </w:rPr>
              <w:t>施工组织设计得分一般不得低于其权重分值的 60%。</w:t>
            </w:r>
          </w:p>
          <w:p w14:paraId="617421FD">
            <w:pPr>
              <w:spacing w:line="360" w:lineRule="exact"/>
              <w:ind w:firstLine="420" w:firstLineChars="200"/>
              <w:jc w:val="left"/>
              <w:rPr>
                <w:rFonts w:hint="eastAsia" w:ascii="宋体" w:hAnsi="宋体"/>
                <w:szCs w:val="21"/>
                <w:highlight w:val="none"/>
              </w:rPr>
            </w:pPr>
            <w:r>
              <w:rPr>
                <w:rFonts w:hint="eastAsia" w:asciiTheme="minorEastAsia" w:hAnsiTheme="minorEastAsia" w:eastAsiaTheme="minorEastAsia"/>
                <w:szCs w:val="21"/>
                <w:highlight w:val="none"/>
              </w:rPr>
              <w:t>4</w:t>
            </w:r>
            <w:r>
              <w:rPr>
                <w:rFonts w:asciiTheme="minorEastAsia" w:hAnsiTheme="minorEastAsia" w:eastAsiaTheme="minorEastAsia"/>
                <w:szCs w:val="21"/>
                <w:highlight w:val="none"/>
              </w:rPr>
              <w:t>.</w:t>
            </w:r>
            <w:r>
              <w:rPr>
                <w:rFonts w:ascii="宋体" w:hAnsi="宋体"/>
                <w:szCs w:val="21"/>
                <w:highlight w:val="none"/>
              </w:rPr>
              <w:t>修正后的最终投标报价仅作为签订合同的一个依据，不参与评标价得分的计算。</w:t>
            </w:r>
          </w:p>
          <w:p w14:paraId="49DFA5A9">
            <w:pPr>
              <w:spacing w:line="360" w:lineRule="exact"/>
              <w:ind w:firstLine="420" w:firstLineChars="200"/>
              <w:jc w:val="left"/>
              <w:rPr>
                <w:rFonts w:hint="eastAsia" w:ascii="黑体" w:hAnsi="黑体" w:eastAsia="黑体"/>
                <w:highlight w:val="none"/>
              </w:rPr>
            </w:pPr>
            <w:r>
              <w:rPr>
                <w:rFonts w:hint="eastAsia" w:ascii="黑体" w:hAnsi="黑体" w:eastAsia="黑体" w:cs="宋体"/>
                <w:kern w:val="0"/>
                <w:szCs w:val="21"/>
                <w:highlight w:val="none"/>
              </w:rPr>
              <w:t>5</w:t>
            </w:r>
            <w:r>
              <w:rPr>
                <w:rFonts w:ascii="黑体" w:hAnsi="黑体" w:eastAsia="黑体" w:cs="宋体"/>
                <w:kern w:val="0"/>
                <w:szCs w:val="21"/>
                <w:highlight w:val="none"/>
              </w:rPr>
              <w:t>.</w:t>
            </w:r>
            <w:r>
              <w:rPr>
                <w:rFonts w:hint="eastAsia" w:ascii="黑体" w:hAnsi="黑体" w:eastAsia="黑体" w:cs="宋体"/>
                <w:kern w:val="0"/>
                <w:szCs w:val="21"/>
                <w:highlight w:val="none"/>
              </w:rPr>
              <w:t>当通过初步评审的有效投标人不足3家时，由评标委员会确定现有投标人是否具有竞争性，决定是否继续评标</w:t>
            </w:r>
            <w:r>
              <w:rPr>
                <w:rFonts w:hint="eastAsia" w:ascii="宋体" w:hAnsi="宋体" w:cs="宋体"/>
                <w:kern w:val="0"/>
                <w:szCs w:val="21"/>
                <w:highlight w:val="none"/>
              </w:rPr>
              <w:t>。</w:t>
            </w:r>
          </w:p>
          <w:p w14:paraId="47597D2B">
            <w:pPr>
              <w:spacing w:line="360" w:lineRule="exact"/>
              <w:ind w:firstLine="420" w:firstLineChars="200"/>
              <w:jc w:val="left"/>
              <w:rPr>
                <w:rFonts w:hint="eastAsia" w:ascii="黑体" w:hAnsi="黑体" w:eastAsia="黑体"/>
                <w:highlight w:val="none"/>
              </w:rPr>
            </w:pPr>
            <w:r>
              <w:rPr>
                <w:rFonts w:hint="eastAsia" w:ascii="黑体" w:hAnsi="黑体" w:eastAsia="黑体"/>
                <w:highlight w:val="none"/>
              </w:rPr>
              <w:t>6.</w:t>
            </w:r>
            <w:r>
              <w:rPr>
                <w:rFonts w:ascii="黑体" w:hAnsi="黑体" w:eastAsia="黑体"/>
                <w:highlight w:val="none"/>
              </w:rPr>
              <w:t>技术文件（施工组织设计）采用“暗标”评审，如果某投标人的施工组织设计没有按照招标文件规定的格式、内容编制，且经评标委员会认定会暴露投标人身份的，评标委员会应一致将其施工组织设计评为 0 分。</w:t>
            </w:r>
          </w:p>
          <w:p w14:paraId="3F48BE80">
            <w:pPr>
              <w:spacing w:line="360" w:lineRule="exact"/>
              <w:ind w:firstLine="420" w:firstLineChars="200"/>
              <w:jc w:val="left"/>
              <w:rPr>
                <w:rFonts w:hint="eastAsia" w:asciiTheme="minorEastAsia" w:hAnsiTheme="minorEastAsia" w:eastAsiaTheme="minorEastAsia"/>
                <w:color w:val="000000"/>
                <w:spacing w:val="-6"/>
                <w:szCs w:val="21"/>
                <w:highlight w:val="none"/>
              </w:rPr>
            </w:pPr>
            <w:r>
              <w:rPr>
                <w:rFonts w:hint="eastAsia" w:ascii="宋体" w:hAnsi="宋体"/>
                <w:szCs w:val="21"/>
                <w:highlight w:val="none"/>
              </w:rPr>
              <w:t>7.</w:t>
            </w:r>
            <w:r>
              <w:rPr>
                <w:rFonts w:ascii="宋体" w:hAnsi="宋体"/>
                <w:szCs w:val="21"/>
                <w:highlight w:val="none"/>
              </w:rPr>
              <w:t>“</w:t>
            </w:r>
            <w:r>
              <w:rPr>
                <w:rFonts w:hint="eastAsia" w:ascii="宋体" w:hAnsi="宋体"/>
                <w:szCs w:val="21"/>
                <w:highlight w:val="none"/>
              </w:rPr>
              <w:t>评标办法前附表”用于进一步明确正文中的未尽事宜，若</w:t>
            </w:r>
            <w:r>
              <w:rPr>
                <w:rFonts w:ascii="宋体" w:hAnsi="宋体"/>
                <w:szCs w:val="21"/>
                <w:highlight w:val="none"/>
              </w:rPr>
              <w:t>与</w:t>
            </w:r>
            <w:r>
              <w:rPr>
                <w:rFonts w:hint="eastAsia" w:ascii="宋体" w:hAnsi="宋体"/>
                <w:szCs w:val="21"/>
                <w:highlight w:val="none"/>
              </w:rPr>
              <w:t>评标办法</w:t>
            </w:r>
            <w:r>
              <w:rPr>
                <w:rFonts w:ascii="宋体" w:hAnsi="宋体"/>
                <w:szCs w:val="21"/>
                <w:highlight w:val="none"/>
              </w:rPr>
              <w:t>正文不一致，以“</w:t>
            </w:r>
            <w:r>
              <w:rPr>
                <w:rFonts w:hint="eastAsia" w:ascii="宋体" w:hAnsi="宋体"/>
                <w:szCs w:val="21"/>
                <w:highlight w:val="none"/>
              </w:rPr>
              <w:t>评标办法前附表”内容为准。</w:t>
            </w:r>
          </w:p>
        </w:tc>
      </w:tr>
      <w:bookmarkEnd w:id="30"/>
      <w:bookmarkEnd w:id="31"/>
    </w:tbl>
    <w:p w14:paraId="5DE63734">
      <w:pPr>
        <w:pStyle w:val="237"/>
        <w:keepNext/>
        <w:keepLines/>
        <w:pageBreakBefore w:val="0"/>
        <w:widowControl w:val="0"/>
        <w:shd w:val="clear" w:color="auto" w:fill="auto"/>
        <w:kinsoku/>
        <w:wordWrap/>
        <w:overflowPunct/>
        <w:topLinePunct w:val="0"/>
        <w:bidi w:val="0"/>
        <w:snapToGrid w:val="0"/>
        <w:spacing w:before="0" w:after="0" w:line="360" w:lineRule="auto"/>
        <w:jc w:val="left"/>
        <w:textAlignment w:val="auto"/>
        <w:rPr>
          <w:rFonts w:hint="eastAsia" w:ascii="黑体" w:hAnsi="黑体" w:eastAsia="黑体"/>
          <w:color w:val="auto"/>
          <w:sz w:val="24"/>
          <w:szCs w:val="24"/>
          <w:highlight w:val="none"/>
        </w:rPr>
      </w:pPr>
      <w:r>
        <w:rPr>
          <w:rFonts w:hint="eastAsia" w:ascii="黑体" w:hAnsi="黑体" w:eastAsia="黑体"/>
          <w:color w:val="auto"/>
          <w:sz w:val="24"/>
          <w:szCs w:val="24"/>
          <w:highlight w:val="none"/>
        </w:rPr>
        <w:t>1</w:t>
      </w:r>
      <w:r>
        <w:rPr>
          <w:rFonts w:hint="eastAsia" w:ascii="黑体" w:hAnsi="黑体" w:eastAsia="黑体"/>
          <w:color w:val="auto"/>
          <w:sz w:val="24"/>
          <w:szCs w:val="24"/>
          <w:highlight w:val="none"/>
          <w:lang w:val="en-US" w:eastAsia="zh-CN"/>
        </w:rPr>
        <w:t>1</w:t>
      </w:r>
      <w:r>
        <w:rPr>
          <w:rFonts w:hint="eastAsia" w:ascii="黑体" w:hAnsi="黑体" w:eastAsia="黑体"/>
          <w:color w:val="auto"/>
          <w:sz w:val="24"/>
          <w:szCs w:val="24"/>
          <w:highlight w:val="none"/>
        </w:rPr>
        <w:t>.公开时间</w:t>
      </w:r>
    </w:p>
    <w:p w14:paraId="4094C3F5">
      <w:pPr>
        <w:pageBreakBefore w:val="0"/>
        <w:widowControl w:val="0"/>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bookmarkStart w:id="36" w:name="_GoBack"/>
      <w:bookmarkEnd w:id="36"/>
      <w:r>
        <w:rPr>
          <w:rFonts w:hint="eastAsia" w:ascii="宋体" w:hAnsi="宋体" w:eastAsia="宋体" w:cs="宋体"/>
          <w:color w:val="auto"/>
          <w:szCs w:val="21"/>
          <w:highlight w:val="none"/>
        </w:rPr>
        <w:t>招标文件关键内容信息公开时间至</w:t>
      </w:r>
      <w:r>
        <w:rPr>
          <w:rFonts w:hint="eastAsia" w:ascii="宋体" w:hAnsi="宋体" w:eastAsia="宋体" w:cs="宋体"/>
          <w:color w:val="auto"/>
          <w:szCs w:val="21"/>
          <w:highlight w:val="none"/>
          <w:lang w:val="en-US" w:eastAsia="zh-CN"/>
        </w:rPr>
        <w:t>投标截止前10天</w:t>
      </w:r>
      <w:r>
        <w:rPr>
          <w:rFonts w:hint="eastAsia" w:ascii="宋体" w:hAnsi="宋体" w:eastAsia="宋体" w:cs="宋体"/>
          <w:color w:val="auto"/>
          <w:szCs w:val="21"/>
          <w:highlight w:val="none"/>
        </w:rPr>
        <w:t>。</w:t>
      </w:r>
    </w:p>
    <w:p w14:paraId="3F17A5CC">
      <w:pPr>
        <w:pageBreakBefore w:val="0"/>
        <w:widowControl w:val="0"/>
        <w:kinsoku/>
        <w:wordWrap/>
        <w:overflowPunct/>
        <w:topLinePunct w:val="0"/>
        <w:bidi w:val="0"/>
        <w:snapToGrid w:val="0"/>
        <w:spacing w:line="360" w:lineRule="auto"/>
        <w:textAlignment w:val="auto"/>
        <w:rPr>
          <w:rFonts w:ascii="黑体" w:eastAsia="黑体"/>
          <w:sz w:val="24"/>
          <w:highlight w:val="none"/>
        </w:rPr>
      </w:pPr>
      <w:r>
        <w:rPr>
          <w:rFonts w:hint="eastAsia" w:ascii="黑体" w:eastAsia="黑体"/>
          <w:sz w:val="24"/>
          <w:highlight w:val="none"/>
          <w:lang w:val="en-US" w:eastAsia="zh-CN"/>
        </w:rPr>
        <w:t>12</w:t>
      </w:r>
      <w:r>
        <w:rPr>
          <w:rFonts w:hint="eastAsia" w:ascii="黑体" w:eastAsia="黑体"/>
          <w:sz w:val="24"/>
          <w:highlight w:val="none"/>
        </w:rPr>
        <w:t>．联系方式</w:t>
      </w:r>
    </w:p>
    <w:p w14:paraId="437E8329">
      <w:pPr>
        <w:pageBreakBefore w:val="0"/>
        <w:widowControl w:val="0"/>
        <w:kinsoku/>
        <w:wordWrap/>
        <w:overflowPunct/>
        <w:topLinePunct w:val="0"/>
        <w:bidi w:val="0"/>
        <w:adjustRightInd w:val="0"/>
        <w:snapToGrid w:val="0"/>
        <w:spacing w:line="360" w:lineRule="auto"/>
        <w:ind w:firstLine="420"/>
        <w:textAlignment w:val="auto"/>
        <w:rPr>
          <w:rFonts w:hint="eastAsia" w:ascii="黑体" w:hAnsi="黑体" w:eastAsia="黑体"/>
          <w:szCs w:val="21"/>
          <w:highlight w:val="none"/>
        </w:rPr>
      </w:pPr>
      <w:r>
        <w:rPr>
          <w:rFonts w:hint="eastAsia" w:ascii="黑体" w:hAnsi="黑体" w:eastAsia="黑体"/>
          <w:szCs w:val="21"/>
          <w:highlight w:val="none"/>
        </w:rPr>
        <w:t>招标人</w:t>
      </w:r>
      <w:r>
        <w:rPr>
          <w:rFonts w:hint="eastAsia" w:ascii="宋体" w:hAnsi="宋体"/>
          <w:szCs w:val="21"/>
          <w:highlight w:val="none"/>
        </w:rPr>
        <w:t>：</w:t>
      </w:r>
      <w:r>
        <w:rPr>
          <w:rFonts w:hint="eastAsia" w:ascii="黑体" w:hAnsi="黑体" w:eastAsia="黑体"/>
          <w:szCs w:val="21"/>
          <w:highlight w:val="none"/>
        </w:rPr>
        <w:t xml:space="preserve"> 长春市高等级公路建设管理中心</w:t>
      </w:r>
    </w:p>
    <w:p w14:paraId="451553B5">
      <w:pPr>
        <w:pageBreakBefore w:val="0"/>
        <w:widowControl w:val="0"/>
        <w:kinsoku/>
        <w:wordWrap/>
        <w:overflowPunct/>
        <w:topLinePunct w:val="0"/>
        <w:bidi w:val="0"/>
        <w:adjustRightInd w:val="0"/>
        <w:snapToGrid w:val="0"/>
        <w:spacing w:line="360" w:lineRule="auto"/>
        <w:ind w:firstLine="420"/>
        <w:textAlignment w:val="auto"/>
        <w:rPr>
          <w:rFonts w:hint="eastAsia" w:ascii="宋体" w:hAnsi="宋体"/>
          <w:szCs w:val="21"/>
          <w:highlight w:val="none"/>
        </w:rPr>
      </w:pPr>
      <w:r>
        <w:rPr>
          <w:rFonts w:hint="eastAsia" w:ascii="宋体" w:hAnsi="宋体"/>
          <w:szCs w:val="21"/>
          <w:highlight w:val="none"/>
        </w:rPr>
        <w:t xml:space="preserve">地 </w:t>
      </w:r>
      <w:r>
        <w:rPr>
          <w:rFonts w:ascii="宋体" w:hAnsi="宋体"/>
          <w:szCs w:val="21"/>
          <w:highlight w:val="none"/>
        </w:rPr>
        <w:t xml:space="preserve"> </w:t>
      </w:r>
      <w:r>
        <w:rPr>
          <w:rFonts w:hint="eastAsia" w:ascii="宋体" w:hAnsi="宋体"/>
          <w:szCs w:val="21"/>
          <w:highlight w:val="none"/>
        </w:rPr>
        <w:t>址： 长春市二道区洋浦大街安龙泉立交桥交汇</w:t>
      </w:r>
    </w:p>
    <w:p w14:paraId="55A1252B">
      <w:pPr>
        <w:pageBreakBefore w:val="0"/>
        <w:widowControl w:val="0"/>
        <w:kinsoku/>
        <w:wordWrap/>
        <w:overflowPunct/>
        <w:topLinePunct w:val="0"/>
        <w:bidi w:val="0"/>
        <w:adjustRightInd w:val="0"/>
        <w:snapToGrid w:val="0"/>
        <w:spacing w:line="360" w:lineRule="auto"/>
        <w:ind w:firstLine="420"/>
        <w:textAlignment w:val="auto"/>
        <w:rPr>
          <w:rFonts w:hint="eastAsia" w:ascii="宋体" w:hAnsi="宋体"/>
          <w:szCs w:val="21"/>
          <w:highlight w:val="none"/>
        </w:rPr>
      </w:pPr>
      <w:r>
        <w:rPr>
          <w:rFonts w:hint="eastAsia" w:ascii="宋体" w:hAnsi="宋体"/>
          <w:szCs w:val="21"/>
          <w:highlight w:val="none"/>
        </w:rPr>
        <w:t>联系人： 杨帆</w:t>
      </w:r>
    </w:p>
    <w:p w14:paraId="0C591EE4">
      <w:pPr>
        <w:pageBreakBefore w:val="0"/>
        <w:widowControl w:val="0"/>
        <w:kinsoku/>
        <w:wordWrap/>
        <w:overflowPunct/>
        <w:topLinePunct w:val="0"/>
        <w:bidi w:val="0"/>
        <w:adjustRightInd w:val="0"/>
        <w:snapToGrid w:val="0"/>
        <w:spacing w:line="360" w:lineRule="auto"/>
        <w:ind w:firstLine="420"/>
        <w:textAlignment w:val="auto"/>
        <w:rPr>
          <w:rFonts w:hint="eastAsia" w:ascii="宋体" w:hAnsi="宋体"/>
          <w:szCs w:val="21"/>
          <w:highlight w:val="none"/>
        </w:rPr>
      </w:pPr>
      <w:r>
        <w:rPr>
          <w:rFonts w:hint="eastAsia" w:ascii="宋体" w:hAnsi="宋体"/>
          <w:szCs w:val="21"/>
          <w:highlight w:val="none"/>
        </w:rPr>
        <w:t xml:space="preserve">电 </w:t>
      </w:r>
      <w:r>
        <w:rPr>
          <w:rFonts w:ascii="宋体" w:hAnsi="宋体"/>
          <w:szCs w:val="21"/>
          <w:highlight w:val="none"/>
        </w:rPr>
        <w:t xml:space="preserve"> </w:t>
      </w:r>
      <w:r>
        <w:rPr>
          <w:rFonts w:hint="eastAsia" w:ascii="宋体" w:hAnsi="宋体"/>
          <w:szCs w:val="21"/>
          <w:highlight w:val="none"/>
        </w:rPr>
        <w:t>话： 0431-85504370</w:t>
      </w:r>
    </w:p>
    <w:p w14:paraId="08ACDF6E">
      <w:pPr>
        <w:pageBreakBefore w:val="0"/>
        <w:widowControl w:val="0"/>
        <w:kinsoku/>
        <w:wordWrap/>
        <w:overflowPunct/>
        <w:topLinePunct w:val="0"/>
        <w:bidi w:val="0"/>
        <w:adjustRightInd w:val="0"/>
        <w:snapToGrid w:val="0"/>
        <w:spacing w:line="360" w:lineRule="auto"/>
        <w:ind w:firstLine="420"/>
        <w:textAlignment w:val="auto"/>
        <w:rPr>
          <w:rFonts w:hint="eastAsia" w:ascii="黑体" w:hAnsi="黑体" w:eastAsia="黑体"/>
          <w:szCs w:val="21"/>
          <w:highlight w:val="none"/>
        </w:rPr>
      </w:pPr>
      <w:r>
        <w:rPr>
          <w:rFonts w:hint="eastAsia" w:ascii="黑体" w:hAnsi="黑体" w:eastAsia="黑体"/>
          <w:szCs w:val="21"/>
          <w:highlight w:val="none"/>
        </w:rPr>
        <w:t>招标代理机构：吉林省伟邦公路技术有限公司</w:t>
      </w:r>
    </w:p>
    <w:p w14:paraId="761ED999">
      <w:pPr>
        <w:pageBreakBefore w:val="0"/>
        <w:widowControl w:val="0"/>
        <w:kinsoku/>
        <w:wordWrap/>
        <w:overflowPunct/>
        <w:topLinePunct w:val="0"/>
        <w:bidi w:val="0"/>
        <w:adjustRightInd w:val="0"/>
        <w:snapToGrid w:val="0"/>
        <w:spacing w:line="360" w:lineRule="auto"/>
        <w:ind w:firstLine="420"/>
        <w:textAlignment w:val="auto"/>
        <w:rPr>
          <w:rFonts w:hint="eastAsia" w:ascii="宋体" w:hAnsi="宋体"/>
          <w:szCs w:val="21"/>
          <w:highlight w:val="none"/>
        </w:rPr>
      </w:pPr>
      <w:r>
        <w:rPr>
          <w:rFonts w:hint="eastAsia" w:ascii="宋体" w:hAnsi="宋体"/>
          <w:szCs w:val="21"/>
          <w:highlight w:val="none"/>
        </w:rPr>
        <w:t>地  址：长春净月高新技术产业开发区擎天树街855号</w:t>
      </w:r>
    </w:p>
    <w:p w14:paraId="0D4C6EE6">
      <w:pPr>
        <w:pageBreakBefore w:val="0"/>
        <w:widowControl w:val="0"/>
        <w:kinsoku/>
        <w:wordWrap/>
        <w:overflowPunct/>
        <w:topLinePunct w:val="0"/>
        <w:bidi w:val="0"/>
        <w:adjustRightInd w:val="0"/>
        <w:snapToGrid w:val="0"/>
        <w:spacing w:line="360" w:lineRule="auto"/>
        <w:ind w:firstLine="420"/>
        <w:textAlignment w:val="auto"/>
        <w:rPr>
          <w:rFonts w:hint="eastAsia" w:ascii="宋体" w:hAnsi="宋体"/>
          <w:szCs w:val="21"/>
          <w:highlight w:val="none"/>
        </w:rPr>
      </w:pPr>
      <w:r>
        <w:rPr>
          <w:rFonts w:hint="eastAsia" w:ascii="宋体" w:hAnsi="宋体"/>
          <w:szCs w:val="21"/>
          <w:highlight w:val="none"/>
        </w:rPr>
        <w:t>邮政编码：130117</w:t>
      </w:r>
    </w:p>
    <w:p w14:paraId="42045AA7">
      <w:pPr>
        <w:pageBreakBefore w:val="0"/>
        <w:widowControl w:val="0"/>
        <w:kinsoku/>
        <w:wordWrap/>
        <w:overflowPunct/>
        <w:topLinePunct w:val="0"/>
        <w:bidi w:val="0"/>
        <w:adjustRightInd w:val="0"/>
        <w:snapToGrid w:val="0"/>
        <w:spacing w:line="360" w:lineRule="auto"/>
        <w:ind w:firstLine="420"/>
        <w:textAlignment w:val="auto"/>
        <w:rPr>
          <w:rFonts w:hint="eastAsia" w:ascii="宋体" w:hAnsi="宋体"/>
          <w:szCs w:val="21"/>
          <w:highlight w:val="none"/>
        </w:rPr>
      </w:pPr>
      <w:r>
        <w:rPr>
          <w:rFonts w:hint="eastAsia" w:ascii="宋体" w:hAnsi="宋体"/>
          <w:szCs w:val="21"/>
          <w:highlight w:val="none"/>
        </w:rPr>
        <w:t>联系人：赵鑫、刘世远</w:t>
      </w:r>
    </w:p>
    <w:p w14:paraId="29A33D22">
      <w:pPr>
        <w:pageBreakBefore w:val="0"/>
        <w:widowControl w:val="0"/>
        <w:kinsoku/>
        <w:wordWrap/>
        <w:overflowPunct/>
        <w:topLinePunct w:val="0"/>
        <w:bidi w:val="0"/>
        <w:adjustRightInd w:val="0"/>
        <w:snapToGrid w:val="0"/>
        <w:spacing w:line="360" w:lineRule="auto"/>
        <w:ind w:firstLine="420"/>
        <w:textAlignment w:val="auto"/>
        <w:rPr>
          <w:rFonts w:hint="eastAsia" w:ascii="宋体" w:hAnsi="宋体"/>
          <w:szCs w:val="21"/>
          <w:highlight w:val="none"/>
        </w:rPr>
      </w:pPr>
      <w:r>
        <w:rPr>
          <w:rFonts w:hint="eastAsia" w:ascii="宋体" w:hAnsi="宋体"/>
          <w:szCs w:val="21"/>
          <w:highlight w:val="none"/>
        </w:rPr>
        <w:t>项目负责人：李金波</w:t>
      </w:r>
    </w:p>
    <w:p w14:paraId="07B72FD6">
      <w:pPr>
        <w:pageBreakBefore w:val="0"/>
        <w:widowControl w:val="0"/>
        <w:kinsoku/>
        <w:wordWrap/>
        <w:overflowPunct/>
        <w:topLinePunct w:val="0"/>
        <w:bidi w:val="0"/>
        <w:adjustRightInd w:val="0"/>
        <w:snapToGrid w:val="0"/>
        <w:spacing w:line="360" w:lineRule="auto"/>
        <w:ind w:firstLine="420"/>
        <w:textAlignment w:val="auto"/>
        <w:rPr>
          <w:rFonts w:hint="eastAsia" w:ascii="宋体" w:hAnsi="宋体"/>
          <w:szCs w:val="21"/>
          <w:highlight w:val="none"/>
        </w:rPr>
      </w:pPr>
      <w:r>
        <w:rPr>
          <w:rFonts w:hint="eastAsia" w:ascii="宋体" w:hAnsi="宋体"/>
          <w:szCs w:val="21"/>
          <w:highlight w:val="none"/>
        </w:rPr>
        <w:t>电  话：</w:t>
      </w:r>
      <w:r>
        <w:rPr>
          <w:rFonts w:ascii="宋体" w:hAnsi="宋体"/>
          <w:szCs w:val="21"/>
          <w:highlight w:val="none"/>
        </w:rPr>
        <w:t>0431</w:t>
      </w:r>
      <w:r>
        <w:rPr>
          <w:rFonts w:hint="eastAsia" w:ascii="宋体" w:hAnsi="宋体"/>
          <w:szCs w:val="21"/>
          <w:highlight w:val="none"/>
        </w:rPr>
        <w:t>-</w:t>
      </w:r>
      <w:r>
        <w:rPr>
          <w:rFonts w:ascii="宋体" w:hAnsi="宋体"/>
          <w:szCs w:val="21"/>
          <w:highlight w:val="none"/>
        </w:rPr>
        <w:t>88655555</w:t>
      </w:r>
    </w:p>
    <w:p w14:paraId="501E7522">
      <w:pPr>
        <w:pageBreakBefore w:val="0"/>
        <w:widowControl w:val="0"/>
        <w:kinsoku/>
        <w:wordWrap/>
        <w:overflowPunct/>
        <w:topLinePunct w:val="0"/>
        <w:bidi w:val="0"/>
        <w:adjustRightInd w:val="0"/>
        <w:snapToGrid w:val="0"/>
        <w:spacing w:line="360" w:lineRule="auto"/>
        <w:ind w:firstLine="420"/>
        <w:textAlignment w:val="auto"/>
        <w:rPr>
          <w:rFonts w:hint="eastAsia" w:ascii="黑体" w:hAnsi="黑体" w:eastAsia="黑体"/>
          <w:szCs w:val="21"/>
          <w:highlight w:val="none"/>
        </w:rPr>
      </w:pPr>
      <w:r>
        <w:rPr>
          <w:rFonts w:hint="eastAsia" w:ascii="黑体" w:hAnsi="黑体" w:eastAsia="黑体"/>
          <w:szCs w:val="21"/>
          <w:highlight w:val="none"/>
        </w:rPr>
        <w:t>监督部门：长春市交通运输局</w:t>
      </w:r>
    </w:p>
    <w:p w14:paraId="71A6E062">
      <w:pPr>
        <w:pageBreakBefore w:val="0"/>
        <w:widowControl w:val="0"/>
        <w:kinsoku/>
        <w:wordWrap/>
        <w:overflowPunct/>
        <w:topLinePunct w:val="0"/>
        <w:autoSpaceDE w:val="0"/>
        <w:autoSpaceDN w:val="0"/>
        <w:bidi w:val="0"/>
        <w:adjustRightInd w:val="0"/>
        <w:snapToGrid w:val="0"/>
        <w:spacing w:line="360" w:lineRule="auto"/>
        <w:ind w:left="210" w:leftChars="100" w:firstLine="210" w:firstLineChars="100"/>
        <w:textAlignment w:val="auto"/>
        <w:rPr>
          <w:rFonts w:hint="eastAsia" w:ascii="宋体" w:hAnsi="宋体"/>
          <w:szCs w:val="21"/>
          <w:highlight w:val="none"/>
        </w:rPr>
      </w:pPr>
      <w:r>
        <w:rPr>
          <w:rFonts w:hint="eastAsia" w:ascii="宋体" w:hAnsi="宋体"/>
          <w:szCs w:val="21"/>
          <w:highlight w:val="none"/>
        </w:rPr>
        <w:t>地　址：长春市民康路555号</w:t>
      </w:r>
    </w:p>
    <w:p w14:paraId="6964EB27">
      <w:pPr>
        <w:pageBreakBefore w:val="0"/>
        <w:widowControl w:val="0"/>
        <w:kinsoku/>
        <w:wordWrap/>
        <w:overflowPunct/>
        <w:topLinePunct w:val="0"/>
        <w:autoSpaceDE w:val="0"/>
        <w:autoSpaceDN w:val="0"/>
        <w:bidi w:val="0"/>
        <w:adjustRightInd w:val="0"/>
        <w:snapToGrid w:val="0"/>
        <w:spacing w:line="360" w:lineRule="auto"/>
        <w:ind w:left="210" w:leftChars="100" w:firstLine="210" w:firstLineChars="100"/>
        <w:textAlignment w:val="auto"/>
        <w:rPr>
          <w:rFonts w:hint="eastAsia" w:ascii="宋体" w:hAnsi="宋体"/>
          <w:szCs w:val="21"/>
          <w:highlight w:val="none"/>
        </w:rPr>
      </w:pPr>
      <w:r>
        <w:rPr>
          <w:rFonts w:hint="eastAsia" w:ascii="宋体" w:hAnsi="宋体"/>
          <w:szCs w:val="21"/>
          <w:highlight w:val="none"/>
        </w:rPr>
        <w:t>电  话：0431-88973671</w:t>
      </w:r>
    </w:p>
    <w:p w14:paraId="4D93AEF5">
      <w:pPr>
        <w:spacing w:line="240" w:lineRule="auto"/>
        <w:ind w:firstLine="420" w:firstLineChars="200"/>
        <w:rPr>
          <w:rFonts w:hint="eastAsia" w:eastAsia="宋体"/>
          <w:highlight w:val="none"/>
          <w:lang w:eastAsia="zh-CN"/>
        </w:rPr>
      </w:pPr>
    </w:p>
    <w:sectPr>
      <w:headerReference r:id="rId4" w:type="default"/>
      <w:footerReference r:id="rId5" w:type="default"/>
      <w:footnotePr>
        <w:numFmt w:val="decimalEnclosedCircleChinese"/>
        <w:numRestart w:val="eachPage"/>
      </w:footnotePr>
      <w:pgSz w:w="11907" w:h="16840"/>
      <w:pgMar w:top="1134" w:right="1134" w:bottom="1134" w:left="1134" w:header="0"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C245BA2-F27D-4CB7-AD06-69481241D01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3BA60EF-5AC4-445F-871C-DEFFEC5BE469}"/>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embedRegular r:id="rId3" w:fontKey="{F8CD8264-4BC4-4CF8-9310-A376268E6274}"/>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Lucida Sans Unicode">
    <w:panose1 w:val="020B0602030504020204"/>
    <w:charset w:val="00"/>
    <w:family w:val="swiss"/>
    <w:pitch w:val="default"/>
    <w:sig w:usb0="80001AFF" w:usb1="0000396B" w:usb2="00000000" w:usb3="00000000" w:csb0="200000BF" w:csb1="D7F70000"/>
  </w:font>
  <w:font w:name="微软雅黑">
    <w:panose1 w:val="020B0503020204020204"/>
    <w:charset w:val="86"/>
    <w:family w:val="swiss"/>
    <w:pitch w:val="default"/>
    <w:sig w:usb0="80000287" w:usb1="2ACF3C50" w:usb2="00000016" w:usb3="00000000" w:csb0="0004001F" w:csb1="00000000"/>
    <w:embedRegular r:id="rId4" w:fontKey="{B13D7D67-3D83-4DAE-A570-2AFD54ED7954}"/>
  </w:font>
  <w:font w:name="楷体_GB2312">
    <w:altName w:val="楷体"/>
    <w:panose1 w:val="00000000000000000000"/>
    <w:charset w:val="86"/>
    <w:family w:val="modern"/>
    <w:pitch w:val="default"/>
    <w:sig w:usb0="00000000" w:usb1="00000000" w:usb2="00000010" w:usb3="00000000" w:csb0="00040000" w:csb1="00000000"/>
    <w:embedRegular r:id="rId5" w:fontKey="{259BFF4F-09EF-4724-BF90-B6B5EC51D1D1}"/>
  </w:font>
  <w:font w:name="楷体">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embedRegular r:id="rId6" w:fontKey="{99BAC25D-9484-4B94-BA6A-4598B8D626D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A670D">
    <w:pPr>
      <w:pStyle w:val="33"/>
      <w:jc w:val="center"/>
      <w:rPr>
        <w:rFonts w:hint="eastAsia" w:asciiTheme="minorEastAsia" w:hAnsiTheme="minorEastAsia" w:eastAsiaTheme="minorEastAsia"/>
        <w:sz w:val="21"/>
        <w:szCs w:val="21"/>
      </w:rPr>
    </w:pPr>
    <w:r>
      <w:rPr>
        <w:rFonts w:hint="eastAsia" w:asciiTheme="minorEastAsia" w:hAnsiTheme="minorEastAsia" w:eastAsiaTheme="minorEastAsia"/>
        <w:kern w:val="0"/>
        <w:sz w:val="21"/>
        <w:szCs w:val="21"/>
      </w:rPr>
      <w:t>-</w:t>
    </w:r>
    <w:r>
      <w:rPr>
        <w:rFonts w:hint="eastAsia" w:asciiTheme="minorEastAsia" w:hAnsiTheme="minorEastAsia" w:eastAsiaTheme="minorEastAsia"/>
        <w:kern w:val="0"/>
        <w:sz w:val="21"/>
        <w:szCs w:val="21"/>
      </w:rPr>
      <w:fldChar w:fldCharType="begin"/>
    </w:r>
    <w:r>
      <w:rPr>
        <w:rFonts w:hint="eastAsia" w:asciiTheme="minorEastAsia" w:hAnsiTheme="minorEastAsia" w:eastAsiaTheme="minorEastAsia"/>
        <w:kern w:val="0"/>
        <w:sz w:val="21"/>
        <w:szCs w:val="21"/>
      </w:rPr>
      <w:instrText xml:space="preserve"> PAGE </w:instrText>
    </w:r>
    <w:r>
      <w:rPr>
        <w:rFonts w:hint="eastAsia" w:asciiTheme="minorEastAsia" w:hAnsiTheme="minorEastAsia" w:eastAsiaTheme="minorEastAsia"/>
        <w:kern w:val="0"/>
        <w:sz w:val="21"/>
        <w:szCs w:val="21"/>
      </w:rPr>
      <w:fldChar w:fldCharType="separate"/>
    </w:r>
    <w:r>
      <w:rPr>
        <w:rFonts w:asciiTheme="minorEastAsia" w:hAnsiTheme="minorEastAsia" w:eastAsiaTheme="minorEastAsia"/>
        <w:kern w:val="0"/>
        <w:sz w:val="21"/>
        <w:szCs w:val="21"/>
      </w:rPr>
      <w:t>90</w:t>
    </w:r>
    <w:r>
      <w:rPr>
        <w:rFonts w:hint="eastAsia" w:asciiTheme="minorEastAsia" w:hAnsiTheme="minorEastAsia" w:eastAsiaTheme="minorEastAsia"/>
        <w:kern w:val="0"/>
        <w:sz w:val="21"/>
        <w:szCs w:val="21"/>
      </w:rPr>
      <w:fldChar w:fldCharType="end"/>
    </w:r>
    <w:r>
      <w:rPr>
        <w:rFonts w:hint="eastAsia" w:asciiTheme="minorEastAsia" w:hAnsiTheme="minorEastAsia" w:eastAsiaTheme="minorEastAsia"/>
        <w:kern w:val="0"/>
        <w:sz w:val="21"/>
        <w:szCs w:val="21"/>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468CA001">
      <w:pPr>
        <w:pStyle w:val="40"/>
        <w:spacing w:line="340" w:lineRule="exact"/>
        <w:jc w:val="both"/>
        <w:rPr>
          <w:rFonts w:hint="eastAsia" w:ascii="宋体" w:hAnsi="宋体"/>
        </w:rPr>
      </w:pPr>
      <w:r>
        <w:rPr>
          <w:rStyle w:val="65"/>
        </w:rPr>
        <w:footnoteRef/>
      </w:r>
      <w:bookmarkStart w:id="33" w:name="OLE_LINK28"/>
      <w:bookmarkStart w:id="34" w:name="OLE_LINK27"/>
      <w:bookmarkStart w:id="35" w:name="OLE_LINK29"/>
      <w:r>
        <w:rPr>
          <w:rFonts w:hint="eastAsia"/>
        </w:rPr>
        <w:t>a.“投标人须知前附</w:t>
      </w:r>
      <w:r>
        <w:rPr>
          <w:rFonts w:hint="eastAsia" w:ascii="宋体" w:hAnsi="宋体"/>
        </w:rPr>
        <w:t>表”用于进一步明确正文中的未尽事宜，凡“投标人须知前附表”对本章正文内容进行修改、完善和补充的，均以“投标人须知前附表”为准；未进行补充、完善、修改和说明的，以本章正文内容为准。</w:t>
      </w:r>
    </w:p>
    <w:p w14:paraId="1BE32D9E">
      <w:pPr>
        <w:pStyle w:val="40"/>
        <w:spacing w:line="340" w:lineRule="exact"/>
        <w:rPr>
          <w:rFonts w:hint="eastAsia" w:ascii="宋体" w:hAnsi="宋体"/>
        </w:rPr>
      </w:pPr>
      <w:r>
        <w:rPr>
          <w:rFonts w:hint="eastAsia" w:ascii="宋体" w:hAnsi="宋体"/>
        </w:rPr>
        <w:t>b.“投标人须知前附表”中的附件表格同属“投标人须知前附表”内容，具有同等效力。</w:t>
      </w:r>
      <w:bookmarkEnd w:id="33"/>
      <w:bookmarkEnd w:id="34"/>
      <w:bookmarkEnd w:id="35"/>
    </w:p>
    <w:p w14:paraId="7559C569">
      <w:pPr>
        <w:pStyle w:val="4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913A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TrueTypeFonts/>
  <w:saveSubsetFonts/>
  <w:bordersDoNotSurroundHeader w:val="1"/>
  <w:bordersDoNotSurroundFooter w:val="1"/>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oNotHyphenateCaps/>
  <w:drawingGridHorizontalSpacing w:val="105"/>
  <w:drawingGridVerticalSpacing w:val="120"/>
  <w:displayHorizontalDrawingGridEvery w:val="0"/>
  <w:displayVerticalDrawingGridEvery w:val="3"/>
  <w:doNotShadeFormData w:val="1"/>
  <w:characterSpacingControl w:val="doNotCompress"/>
  <w:doNotValidateAgainstSchema/>
  <w:doNotDemarcateInvalidXml/>
  <w:footnotePr>
    <w:numFmt w:val="decimalEnclosedCircleChinese"/>
    <w:numRestart w:val="eachPage"/>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GY2ZTQxYTMzOTYzNWU0OWFlOGQyMDc2M2RkM2NjZDkifQ=="/>
  </w:docVars>
  <w:rsids>
    <w:rsidRoot w:val="00807461"/>
    <w:rsid w:val="00000386"/>
    <w:rsid w:val="00000417"/>
    <w:rsid w:val="00001C62"/>
    <w:rsid w:val="00001D71"/>
    <w:rsid w:val="00001FA7"/>
    <w:rsid w:val="00002336"/>
    <w:rsid w:val="00002AAE"/>
    <w:rsid w:val="00002B83"/>
    <w:rsid w:val="00002BD8"/>
    <w:rsid w:val="000037AA"/>
    <w:rsid w:val="000045D3"/>
    <w:rsid w:val="000045F6"/>
    <w:rsid w:val="0000466A"/>
    <w:rsid w:val="00004901"/>
    <w:rsid w:val="00005145"/>
    <w:rsid w:val="00006568"/>
    <w:rsid w:val="0000659B"/>
    <w:rsid w:val="00006A02"/>
    <w:rsid w:val="000075A4"/>
    <w:rsid w:val="00007F28"/>
    <w:rsid w:val="00010001"/>
    <w:rsid w:val="00010102"/>
    <w:rsid w:val="0001021F"/>
    <w:rsid w:val="0001040A"/>
    <w:rsid w:val="000107C2"/>
    <w:rsid w:val="00012495"/>
    <w:rsid w:val="000126DA"/>
    <w:rsid w:val="00012961"/>
    <w:rsid w:val="00012E9C"/>
    <w:rsid w:val="000139BF"/>
    <w:rsid w:val="00014305"/>
    <w:rsid w:val="00014675"/>
    <w:rsid w:val="00015AA9"/>
    <w:rsid w:val="00015ACB"/>
    <w:rsid w:val="00016174"/>
    <w:rsid w:val="00016201"/>
    <w:rsid w:val="0001661A"/>
    <w:rsid w:val="000169C2"/>
    <w:rsid w:val="00016E3A"/>
    <w:rsid w:val="000172CB"/>
    <w:rsid w:val="000202BB"/>
    <w:rsid w:val="000204DD"/>
    <w:rsid w:val="0002081D"/>
    <w:rsid w:val="00021A6B"/>
    <w:rsid w:val="000223A3"/>
    <w:rsid w:val="000226CC"/>
    <w:rsid w:val="000228B8"/>
    <w:rsid w:val="000229FC"/>
    <w:rsid w:val="00022A9F"/>
    <w:rsid w:val="000236E8"/>
    <w:rsid w:val="00023C11"/>
    <w:rsid w:val="00023C45"/>
    <w:rsid w:val="00023C49"/>
    <w:rsid w:val="00024050"/>
    <w:rsid w:val="000246D7"/>
    <w:rsid w:val="00024ABE"/>
    <w:rsid w:val="00024F12"/>
    <w:rsid w:val="000259E2"/>
    <w:rsid w:val="00025CA3"/>
    <w:rsid w:val="00027179"/>
    <w:rsid w:val="000275DE"/>
    <w:rsid w:val="00030397"/>
    <w:rsid w:val="000304C2"/>
    <w:rsid w:val="00030564"/>
    <w:rsid w:val="000305F1"/>
    <w:rsid w:val="000315E2"/>
    <w:rsid w:val="0003184D"/>
    <w:rsid w:val="00031D6F"/>
    <w:rsid w:val="00032CEB"/>
    <w:rsid w:val="000334C4"/>
    <w:rsid w:val="0003385A"/>
    <w:rsid w:val="00033952"/>
    <w:rsid w:val="00033BF6"/>
    <w:rsid w:val="00033E27"/>
    <w:rsid w:val="00034F10"/>
    <w:rsid w:val="000353DF"/>
    <w:rsid w:val="00035FDD"/>
    <w:rsid w:val="0003690E"/>
    <w:rsid w:val="00036C2E"/>
    <w:rsid w:val="0003711A"/>
    <w:rsid w:val="0003739B"/>
    <w:rsid w:val="00037523"/>
    <w:rsid w:val="00040D3C"/>
    <w:rsid w:val="00040D73"/>
    <w:rsid w:val="00040DF2"/>
    <w:rsid w:val="00041776"/>
    <w:rsid w:val="00041E1D"/>
    <w:rsid w:val="00042271"/>
    <w:rsid w:val="00042585"/>
    <w:rsid w:val="000426CA"/>
    <w:rsid w:val="00042CE7"/>
    <w:rsid w:val="00043036"/>
    <w:rsid w:val="00043A52"/>
    <w:rsid w:val="00044483"/>
    <w:rsid w:val="00044642"/>
    <w:rsid w:val="00044E77"/>
    <w:rsid w:val="00045D18"/>
    <w:rsid w:val="00046074"/>
    <w:rsid w:val="000464F2"/>
    <w:rsid w:val="00046677"/>
    <w:rsid w:val="00046783"/>
    <w:rsid w:val="0004709C"/>
    <w:rsid w:val="000470AF"/>
    <w:rsid w:val="000479B6"/>
    <w:rsid w:val="00050FBE"/>
    <w:rsid w:val="00051294"/>
    <w:rsid w:val="000516E1"/>
    <w:rsid w:val="0005214A"/>
    <w:rsid w:val="0005237B"/>
    <w:rsid w:val="000525E8"/>
    <w:rsid w:val="00052674"/>
    <w:rsid w:val="0005284D"/>
    <w:rsid w:val="000529C8"/>
    <w:rsid w:val="00052E88"/>
    <w:rsid w:val="00053757"/>
    <w:rsid w:val="00053EA0"/>
    <w:rsid w:val="00053EF9"/>
    <w:rsid w:val="00054023"/>
    <w:rsid w:val="000541B3"/>
    <w:rsid w:val="00054381"/>
    <w:rsid w:val="0005444F"/>
    <w:rsid w:val="00054EE2"/>
    <w:rsid w:val="000552F3"/>
    <w:rsid w:val="0005544F"/>
    <w:rsid w:val="000559E4"/>
    <w:rsid w:val="00056884"/>
    <w:rsid w:val="000568FE"/>
    <w:rsid w:val="00056D94"/>
    <w:rsid w:val="00057739"/>
    <w:rsid w:val="000578AA"/>
    <w:rsid w:val="00057B6B"/>
    <w:rsid w:val="00060A91"/>
    <w:rsid w:val="00060ADC"/>
    <w:rsid w:val="000618AB"/>
    <w:rsid w:val="00061C2D"/>
    <w:rsid w:val="000626BD"/>
    <w:rsid w:val="00063573"/>
    <w:rsid w:val="00063742"/>
    <w:rsid w:val="00064FE0"/>
    <w:rsid w:val="00065188"/>
    <w:rsid w:val="00065BEB"/>
    <w:rsid w:val="00065CB8"/>
    <w:rsid w:val="00066285"/>
    <w:rsid w:val="00066466"/>
    <w:rsid w:val="0006673D"/>
    <w:rsid w:val="000669AE"/>
    <w:rsid w:val="00066B34"/>
    <w:rsid w:val="00066CC4"/>
    <w:rsid w:val="00066FD5"/>
    <w:rsid w:val="00067244"/>
    <w:rsid w:val="00067401"/>
    <w:rsid w:val="00067882"/>
    <w:rsid w:val="00067F13"/>
    <w:rsid w:val="0007025F"/>
    <w:rsid w:val="00070DA6"/>
    <w:rsid w:val="000712D2"/>
    <w:rsid w:val="000717C3"/>
    <w:rsid w:val="00072258"/>
    <w:rsid w:val="00072BFA"/>
    <w:rsid w:val="0007338A"/>
    <w:rsid w:val="000736CF"/>
    <w:rsid w:val="000745F1"/>
    <w:rsid w:val="0007468F"/>
    <w:rsid w:val="00074C22"/>
    <w:rsid w:val="00074E74"/>
    <w:rsid w:val="00075E88"/>
    <w:rsid w:val="00076986"/>
    <w:rsid w:val="00076CEB"/>
    <w:rsid w:val="00077240"/>
    <w:rsid w:val="0008070F"/>
    <w:rsid w:val="00080AB5"/>
    <w:rsid w:val="00080F07"/>
    <w:rsid w:val="00081674"/>
    <w:rsid w:val="00081DDA"/>
    <w:rsid w:val="00082DD7"/>
    <w:rsid w:val="000836AC"/>
    <w:rsid w:val="00083793"/>
    <w:rsid w:val="000839A2"/>
    <w:rsid w:val="000839CF"/>
    <w:rsid w:val="00083CC9"/>
    <w:rsid w:val="00083D2C"/>
    <w:rsid w:val="00084139"/>
    <w:rsid w:val="00084551"/>
    <w:rsid w:val="00085AD5"/>
    <w:rsid w:val="00085DF6"/>
    <w:rsid w:val="0008605B"/>
    <w:rsid w:val="00086800"/>
    <w:rsid w:val="00086D2B"/>
    <w:rsid w:val="00086E4E"/>
    <w:rsid w:val="0009037C"/>
    <w:rsid w:val="000903DD"/>
    <w:rsid w:val="0009134D"/>
    <w:rsid w:val="0009171C"/>
    <w:rsid w:val="00091FCF"/>
    <w:rsid w:val="00092611"/>
    <w:rsid w:val="00092F2C"/>
    <w:rsid w:val="000935D2"/>
    <w:rsid w:val="00093F30"/>
    <w:rsid w:val="0009401D"/>
    <w:rsid w:val="000946BF"/>
    <w:rsid w:val="00094B17"/>
    <w:rsid w:val="00095430"/>
    <w:rsid w:val="000954D7"/>
    <w:rsid w:val="0009614B"/>
    <w:rsid w:val="00096801"/>
    <w:rsid w:val="000968C7"/>
    <w:rsid w:val="0009737F"/>
    <w:rsid w:val="00097940"/>
    <w:rsid w:val="00097A1C"/>
    <w:rsid w:val="00097DB7"/>
    <w:rsid w:val="000A00E8"/>
    <w:rsid w:val="000A056F"/>
    <w:rsid w:val="000A074A"/>
    <w:rsid w:val="000A0D04"/>
    <w:rsid w:val="000A0DE0"/>
    <w:rsid w:val="000A14EA"/>
    <w:rsid w:val="000A15CF"/>
    <w:rsid w:val="000A1D07"/>
    <w:rsid w:val="000A3092"/>
    <w:rsid w:val="000A40A7"/>
    <w:rsid w:val="000A50DC"/>
    <w:rsid w:val="000A5432"/>
    <w:rsid w:val="000A5C54"/>
    <w:rsid w:val="000A61E6"/>
    <w:rsid w:val="000A622E"/>
    <w:rsid w:val="000A62D0"/>
    <w:rsid w:val="000A6332"/>
    <w:rsid w:val="000A7870"/>
    <w:rsid w:val="000B05CB"/>
    <w:rsid w:val="000B0634"/>
    <w:rsid w:val="000B0B33"/>
    <w:rsid w:val="000B0F0C"/>
    <w:rsid w:val="000B122F"/>
    <w:rsid w:val="000B195C"/>
    <w:rsid w:val="000B1F5E"/>
    <w:rsid w:val="000B2622"/>
    <w:rsid w:val="000B28C5"/>
    <w:rsid w:val="000B2A7E"/>
    <w:rsid w:val="000B3A20"/>
    <w:rsid w:val="000B3D53"/>
    <w:rsid w:val="000B3DDF"/>
    <w:rsid w:val="000B40CB"/>
    <w:rsid w:val="000B4988"/>
    <w:rsid w:val="000B4CB4"/>
    <w:rsid w:val="000B4D8A"/>
    <w:rsid w:val="000B5AAF"/>
    <w:rsid w:val="000B5D4F"/>
    <w:rsid w:val="000B7261"/>
    <w:rsid w:val="000B750E"/>
    <w:rsid w:val="000B76E1"/>
    <w:rsid w:val="000B76E6"/>
    <w:rsid w:val="000B7A44"/>
    <w:rsid w:val="000B7F43"/>
    <w:rsid w:val="000C0493"/>
    <w:rsid w:val="000C0614"/>
    <w:rsid w:val="000C1198"/>
    <w:rsid w:val="000C166D"/>
    <w:rsid w:val="000C1AD6"/>
    <w:rsid w:val="000C1BAF"/>
    <w:rsid w:val="000C1E2E"/>
    <w:rsid w:val="000C2225"/>
    <w:rsid w:val="000C3065"/>
    <w:rsid w:val="000C3419"/>
    <w:rsid w:val="000C39EE"/>
    <w:rsid w:val="000C3C90"/>
    <w:rsid w:val="000C4641"/>
    <w:rsid w:val="000C4CA9"/>
    <w:rsid w:val="000C4EEB"/>
    <w:rsid w:val="000C4FD9"/>
    <w:rsid w:val="000C51E9"/>
    <w:rsid w:val="000C5250"/>
    <w:rsid w:val="000C5EE3"/>
    <w:rsid w:val="000C5F0B"/>
    <w:rsid w:val="000C67F1"/>
    <w:rsid w:val="000C6C00"/>
    <w:rsid w:val="000C7402"/>
    <w:rsid w:val="000C7533"/>
    <w:rsid w:val="000C7612"/>
    <w:rsid w:val="000C7637"/>
    <w:rsid w:val="000D167D"/>
    <w:rsid w:val="000D24CE"/>
    <w:rsid w:val="000D2A77"/>
    <w:rsid w:val="000D30A7"/>
    <w:rsid w:val="000D341C"/>
    <w:rsid w:val="000D3D84"/>
    <w:rsid w:val="000D3FA5"/>
    <w:rsid w:val="000D4151"/>
    <w:rsid w:val="000D47CF"/>
    <w:rsid w:val="000D4993"/>
    <w:rsid w:val="000D4A18"/>
    <w:rsid w:val="000D4D09"/>
    <w:rsid w:val="000D5F65"/>
    <w:rsid w:val="000D604F"/>
    <w:rsid w:val="000D685A"/>
    <w:rsid w:val="000D6B14"/>
    <w:rsid w:val="000D6BD1"/>
    <w:rsid w:val="000D70AC"/>
    <w:rsid w:val="000E1322"/>
    <w:rsid w:val="000E189A"/>
    <w:rsid w:val="000E1E03"/>
    <w:rsid w:val="000E220D"/>
    <w:rsid w:val="000E26C7"/>
    <w:rsid w:val="000E26D7"/>
    <w:rsid w:val="000E293E"/>
    <w:rsid w:val="000E301C"/>
    <w:rsid w:val="000E33E1"/>
    <w:rsid w:val="000E4451"/>
    <w:rsid w:val="000E4893"/>
    <w:rsid w:val="000E4F0D"/>
    <w:rsid w:val="000E6079"/>
    <w:rsid w:val="000E61FF"/>
    <w:rsid w:val="000E6403"/>
    <w:rsid w:val="000E6690"/>
    <w:rsid w:val="000E6AD0"/>
    <w:rsid w:val="000E718A"/>
    <w:rsid w:val="000E7294"/>
    <w:rsid w:val="000F04D7"/>
    <w:rsid w:val="000F05DC"/>
    <w:rsid w:val="000F0A97"/>
    <w:rsid w:val="000F0DED"/>
    <w:rsid w:val="000F0F6C"/>
    <w:rsid w:val="000F103D"/>
    <w:rsid w:val="000F1484"/>
    <w:rsid w:val="000F1DAA"/>
    <w:rsid w:val="000F2425"/>
    <w:rsid w:val="000F2F0D"/>
    <w:rsid w:val="000F3372"/>
    <w:rsid w:val="000F3510"/>
    <w:rsid w:val="000F4318"/>
    <w:rsid w:val="000F433B"/>
    <w:rsid w:val="000F49DE"/>
    <w:rsid w:val="000F533D"/>
    <w:rsid w:val="000F57B7"/>
    <w:rsid w:val="000F57BF"/>
    <w:rsid w:val="000F6C4B"/>
    <w:rsid w:val="000F6FC8"/>
    <w:rsid w:val="000F7189"/>
    <w:rsid w:val="000F722A"/>
    <w:rsid w:val="000F763A"/>
    <w:rsid w:val="000F7F5C"/>
    <w:rsid w:val="00100E75"/>
    <w:rsid w:val="00100F65"/>
    <w:rsid w:val="00101922"/>
    <w:rsid w:val="001031DE"/>
    <w:rsid w:val="00104A7D"/>
    <w:rsid w:val="00104D6F"/>
    <w:rsid w:val="00104FCF"/>
    <w:rsid w:val="00105861"/>
    <w:rsid w:val="00105DAA"/>
    <w:rsid w:val="00105FC5"/>
    <w:rsid w:val="00107171"/>
    <w:rsid w:val="00107402"/>
    <w:rsid w:val="001076D2"/>
    <w:rsid w:val="00107922"/>
    <w:rsid w:val="0011013D"/>
    <w:rsid w:val="00110BB9"/>
    <w:rsid w:val="00111420"/>
    <w:rsid w:val="001119D2"/>
    <w:rsid w:val="00111E26"/>
    <w:rsid w:val="00112721"/>
    <w:rsid w:val="00112BC4"/>
    <w:rsid w:val="0011358D"/>
    <w:rsid w:val="00113937"/>
    <w:rsid w:val="00113B19"/>
    <w:rsid w:val="00113CCE"/>
    <w:rsid w:val="00113DC0"/>
    <w:rsid w:val="00113FB1"/>
    <w:rsid w:val="001142CF"/>
    <w:rsid w:val="001146E7"/>
    <w:rsid w:val="00114DF0"/>
    <w:rsid w:val="00114E53"/>
    <w:rsid w:val="0011576E"/>
    <w:rsid w:val="001160CD"/>
    <w:rsid w:val="001170B2"/>
    <w:rsid w:val="001173B4"/>
    <w:rsid w:val="001200DE"/>
    <w:rsid w:val="001200EE"/>
    <w:rsid w:val="001203A9"/>
    <w:rsid w:val="00120781"/>
    <w:rsid w:val="00120AED"/>
    <w:rsid w:val="001212AC"/>
    <w:rsid w:val="001215CA"/>
    <w:rsid w:val="001217A4"/>
    <w:rsid w:val="00121E00"/>
    <w:rsid w:val="00122211"/>
    <w:rsid w:val="0012259D"/>
    <w:rsid w:val="00123384"/>
    <w:rsid w:val="001237BF"/>
    <w:rsid w:val="00123F0C"/>
    <w:rsid w:val="00124141"/>
    <w:rsid w:val="00124185"/>
    <w:rsid w:val="00124C83"/>
    <w:rsid w:val="00124C9E"/>
    <w:rsid w:val="00124E6A"/>
    <w:rsid w:val="001252D3"/>
    <w:rsid w:val="00125667"/>
    <w:rsid w:val="0012583D"/>
    <w:rsid w:val="00125864"/>
    <w:rsid w:val="00125BFF"/>
    <w:rsid w:val="00126312"/>
    <w:rsid w:val="00126BDB"/>
    <w:rsid w:val="001272F6"/>
    <w:rsid w:val="00127DD3"/>
    <w:rsid w:val="00130054"/>
    <w:rsid w:val="001303F0"/>
    <w:rsid w:val="001323BF"/>
    <w:rsid w:val="001324E4"/>
    <w:rsid w:val="00132915"/>
    <w:rsid w:val="00133179"/>
    <w:rsid w:val="00133375"/>
    <w:rsid w:val="00133450"/>
    <w:rsid w:val="00134802"/>
    <w:rsid w:val="001350B7"/>
    <w:rsid w:val="00135684"/>
    <w:rsid w:val="00135877"/>
    <w:rsid w:val="00135ACE"/>
    <w:rsid w:val="0013632A"/>
    <w:rsid w:val="001368E9"/>
    <w:rsid w:val="00136A58"/>
    <w:rsid w:val="00136BB2"/>
    <w:rsid w:val="00136EBB"/>
    <w:rsid w:val="00136FA7"/>
    <w:rsid w:val="001374C9"/>
    <w:rsid w:val="001376A2"/>
    <w:rsid w:val="00140E0A"/>
    <w:rsid w:val="00141362"/>
    <w:rsid w:val="00141673"/>
    <w:rsid w:val="00141C1E"/>
    <w:rsid w:val="001430EA"/>
    <w:rsid w:val="00143397"/>
    <w:rsid w:val="001437C9"/>
    <w:rsid w:val="00144591"/>
    <w:rsid w:val="001446BB"/>
    <w:rsid w:val="001447BB"/>
    <w:rsid w:val="00144B35"/>
    <w:rsid w:val="00145F62"/>
    <w:rsid w:val="001468BD"/>
    <w:rsid w:val="0014744C"/>
    <w:rsid w:val="0014795B"/>
    <w:rsid w:val="00147A7E"/>
    <w:rsid w:val="00147F88"/>
    <w:rsid w:val="00150ACE"/>
    <w:rsid w:val="00150B6F"/>
    <w:rsid w:val="0015183D"/>
    <w:rsid w:val="001519C3"/>
    <w:rsid w:val="00151A98"/>
    <w:rsid w:val="00151BEA"/>
    <w:rsid w:val="00151C48"/>
    <w:rsid w:val="0015215C"/>
    <w:rsid w:val="0015241E"/>
    <w:rsid w:val="0015253A"/>
    <w:rsid w:val="00152822"/>
    <w:rsid w:val="00153399"/>
    <w:rsid w:val="00153789"/>
    <w:rsid w:val="001539C4"/>
    <w:rsid w:val="00153B09"/>
    <w:rsid w:val="00154322"/>
    <w:rsid w:val="001546B2"/>
    <w:rsid w:val="00154CDB"/>
    <w:rsid w:val="00155270"/>
    <w:rsid w:val="001559B9"/>
    <w:rsid w:val="00155B0C"/>
    <w:rsid w:val="00155CA8"/>
    <w:rsid w:val="00156947"/>
    <w:rsid w:val="00156DB1"/>
    <w:rsid w:val="00157DAA"/>
    <w:rsid w:val="00161A55"/>
    <w:rsid w:val="00161B5E"/>
    <w:rsid w:val="001620B1"/>
    <w:rsid w:val="00162225"/>
    <w:rsid w:val="00162271"/>
    <w:rsid w:val="00162E75"/>
    <w:rsid w:val="00162FC7"/>
    <w:rsid w:val="00162FC8"/>
    <w:rsid w:val="0016316B"/>
    <w:rsid w:val="00163651"/>
    <w:rsid w:val="00163F05"/>
    <w:rsid w:val="00163F26"/>
    <w:rsid w:val="00164339"/>
    <w:rsid w:val="001646C1"/>
    <w:rsid w:val="0016493E"/>
    <w:rsid w:val="00164AF8"/>
    <w:rsid w:val="00164E32"/>
    <w:rsid w:val="001650C7"/>
    <w:rsid w:val="00165372"/>
    <w:rsid w:val="00165636"/>
    <w:rsid w:val="00165F70"/>
    <w:rsid w:val="00165FD0"/>
    <w:rsid w:val="00166321"/>
    <w:rsid w:val="0016697E"/>
    <w:rsid w:val="00167088"/>
    <w:rsid w:val="001673AB"/>
    <w:rsid w:val="00170241"/>
    <w:rsid w:val="00170272"/>
    <w:rsid w:val="00170D1F"/>
    <w:rsid w:val="00171075"/>
    <w:rsid w:val="0017127C"/>
    <w:rsid w:val="00171280"/>
    <w:rsid w:val="00171BC6"/>
    <w:rsid w:val="00171D7C"/>
    <w:rsid w:val="00171F79"/>
    <w:rsid w:val="00172AE7"/>
    <w:rsid w:val="001731D9"/>
    <w:rsid w:val="00173670"/>
    <w:rsid w:val="00173862"/>
    <w:rsid w:val="00173C1A"/>
    <w:rsid w:val="0017477C"/>
    <w:rsid w:val="0017520A"/>
    <w:rsid w:val="0017585D"/>
    <w:rsid w:val="00176071"/>
    <w:rsid w:val="001768C8"/>
    <w:rsid w:val="00176C54"/>
    <w:rsid w:val="001779B8"/>
    <w:rsid w:val="001805E1"/>
    <w:rsid w:val="001809BD"/>
    <w:rsid w:val="0018108F"/>
    <w:rsid w:val="00181222"/>
    <w:rsid w:val="00181245"/>
    <w:rsid w:val="001814C7"/>
    <w:rsid w:val="00181CB7"/>
    <w:rsid w:val="00181F5C"/>
    <w:rsid w:val="0018315C"/>
    <w:rsid w:val="0018352B"/>
    <w:rsid w:val="00183CEF"/>
    <w:rsid w:val="00184833"/>
    <w:rsid w:val="00184963"/>
    <w:rsid w:val="00184DBA"/>
    <w:rsid w:val="00184F59"/>
    <w:rsid w:val="00185282"/>
    <w:rsid w:val="00185C70"/>
    <w:rsid w:val="0018628C"/>
    <w:rsid w:val="0018638F"/>
    <w:rsid w:val="001863AF"/>
    <w:rsid w:val="00186AE3"/>
    <w:rsid w:val="00187473"/>
    <w:rsid w:val="0018772A"/>
    <w:rsid w:val="00187A7F"/>
    <w:rsid w:val="00187AAE"/>
    <w:rsid w:val="00187EBB"/>
    <w:rsid w:val="00191A93"/>
    <w:rsid w:val="00191BD3"/>
    <w:rsid w:val="0019205D"/>
    <w:rsid w:val="00192388"/>
    <w:rsid w:val="00192493"/>
    <w:rsid w:val="00192C39"/>
    <w:rsid w:val="001946B2"/>
    <w:rsid w:val="0019480A"/>
    <w:rsid w:val="001950AC"/>
    <w:rsid w:val="0019557C"/>
    <w:rsid w:val="001959F4"/>
    <w:rsid w:val="00195F43"/>
    <w:rsid w:val="001961B2"/>
    <w:rsid w:val="00196630"/>
    <w:rsid w:val="00196711"/>
    <w:rsid w:val="001967B3"/>
    <w:rsid w:val="00196820"/>
    <w:rsid w:val="00196B3D"/>
    <w:rsid w:val="00197091"/>
    <w:rsid w:val="00197864"/>
    <w:rsid w:val="001A01D4"/>
    <w:rsid w:val="001A02DB"/>
    <w:rsid w:val="001A0820"/>
    <w:rsid w:val="001A0B41"/>
    <w:rsid w:val="001A1C5F"/>
    <w:rsid w:val="001A21A2"/>
    <w:rsid w:val="001A23F4"/>
    <w:rsid w:val="001A268C"/>
    <w:rsid w:val="001A2FA5"/>
    <w:rsid w:val="001A2FB7"/>
    <w:rsid w:val="001A34A4"/>
    <w:rsid w:val="001A354C"/>
    <w:rsid w:val="001A3880"/>
    <w:rsid w:val="001A3FCB"/>
    <w:rsid w:val="001A4149"/>
    <w:rsid w:val="001A419F"/>
    <w:rsid w:val="001A447A"/>
    <w:rsid w:val="001A4800"/>
    <w:rsid w:val="001A5358"/>
    <w:rsid w:val="001A5A87"/>
    <w:rsid w:val="001A5C86"/>
    <w:rsid w:val="001A5CF6"/>
    <w:rsid w:val="001A61D9"/>
    <w:rsid w:val="001A648C"/>
    <w:rsid w:val="001A6649"/>
    <w:rsid w:val="001A68BC"/>
    <w:rsid w:val="001A72E6"/>
    <w:rsid w:val="001A7324"/>
    <w:rsid w:val="001A742C"/>
    <w:rsid w:val="001A7C7B"/>
    <w:rsid w:val="001B085F"/>
    <w:rsid w:val="001B08B4"/>
    <w:rsid w:val="001B10E0"/>
    <w:rsid w:val="001B1764"/>
    <w:rsid w:val="001B1A6A"/>
    <w:rsid w:val="001B1A7F"/>
    <w:rsid w:val="001B2438"/>
    <w:rsid w:val="001B25DF"/>
    <w:rsid w:val="001B2C7D"/>
    <w:rsid w:val="001B2DAE"/>
    <w:rsid w:val="001B46E8"/>
    <w:rsid w:val="001B473A"/>
    <w:rsid w:val="001B4A89"/>
    <w:rsid w:val="001B54E5"/>
    <w:rsid w:val="001B71BA"/>
    <w:rsid w:val="001B71F8"/>
    <w:rsid w:val="001B73EF"/>
    <w:rsid w:val="001B7AD6"/>
    <w:rsid w:val="001B7AFE"/>
    <w:rsid w:val="001C0F96"/>
    <w:rsid w:val="001C1696"/>
    <w:rsid w:val="001C1BEC"/>
    <w:rsid w:val="001C25A6"/>
    <w:rsid w:val="001C2826"/>
    <w:rsid w:val="001C29B6"/>
    <w:rsid w:val="001C2A48"/>
    <w:rsid w:val="001C2A9F"/>
    <w:rsid w:val="001C359A"/>
    <w:rsid w:val="001C3762"/>
    <w:rsid w:val="001C38B9"/>
    <w:rsid w:val="001C408D"/>
    <w:rsid w:val="001C4F8B"/>
    <w:rsid w:val="001C520A"/>
    <w:rsid w:val="001C54ED"/>
    <w:rsid w:val="001C5BF7"/>
    <w:rsid w:val="001C67D6"/>
    <w:rsid w:val="001C69F1"/>
    <w:rsid w:val="001C7258"/>
    <w:rsid w:val="001C7CB1"/>
    <w:rsid w:val="001D017A"/>
    <w:rsid w:val="001D0607"/>
    <w:rsid w:val="001D076A"/>
    <w:rsid w:val="001D08B6"/>
    <w:rsid w:val="001D1880"/>
    <w:rsid w:val="001D2073"/>
    <w:rsid w:val="001D21F1"/>
    <w:rsid w:val="001D2381"/>
    <w:rsid w:val="001D37DB"/>
    <w:rsid w:val="001D44E7"/>
    <w:rsid w:val="001D50DC"/>
    <w:rsid w:val="001D573C"/>
    <w:rsid w:val="001D5C05"/>
    <w:rsid w:val="001D5C18"/>
    <w:rsid w:val="001D5E47"/>
    <w:rsid w:val="001D61CF"/>
    <w:rsid w:val="001D62AA"/>
    <w:rsid w:val="001D7622"/>
    <w:rsid w:val="001E0578"/>
    <w:rsid w:val="001E06E8"/>
    <w:rsid w:val="001E08BE"/>
    <w:rsid w:val="001E0B51"/>
    <w:rsid w:val="001E0F1C"/>
    <w:rsid w:val="001E142D"/>
    <w:rsid w:val="001E1448"/>
    <w:rsid w:val="001E1DF1"/>
    <w:rsid w:val="001E1E06"/>
    <w:rsid w:val="001E303D"/>
    <w:rsid w:val="001E312B"/>
    <w:rsid w:val="001E31B3"/>
    <w:rsid w:val="001E4C8E"/>
    <w:rsid w:val="001E4ECC"/>
    <w:rsid w:val="001E578F"/>
    <w:rsid w:val="001E61EF"/>
    <w:rsid w:val="001E6E35"/>
    <w:rsid w:val="001E6EE1"/>
    <w:rsid w:val="001E7121"/>
    <w:rsid w:val="001E787F"/>
    <w:rsid w:val="001F0264"/>
    <w:rsid w:val="001F0558"/>
    <w:rsid w:val="001F090D"/>
    <w:rsid w:val="001F127D"/>
    <w:rsid w:val="001F16CB"/>
    <w:rsid w:val="001F292E"/>
    <w:rsid w:val="001F30A3"/>
    <w:rsid w:val="001F3930"/>
    <w:rsid w:val="001F50C5"/>
    <w:rsid w:val="001F551D"/>
    <w:rsid w:val="001F555F"/>
    <w:rsid w:val="001F583C"/>
    <w:rsid w:val="001F60D4"/>
    <w:rsid w:val="001F6A5F"/>
    <w:rsid w:val="002004DF"/>
    <w:rsid w:val="00200A86"/>
    <w:rsid w:val="00200AF0"/>
    <w:rsid w:val="00201310"/>
    <w:rsid w:val="00201398"/>
    <w:rsid w:val="002013B0"/>
    <w:rsid w:val="0020153D"/>
    <w:rsid w:val="00201590"/>
    <w:rsid w:val="00201900"/>
    <w:rsid w:val="00201F25"/>
    <w:rsid w:val="00202615"/>
    <w:rsid w:val="00202772"/>
    <w:rsid w:val="00202982"/>
    <w:rsid w:val="00202B62"/>
    <w:rsid w:val="002030AA"/>
    <w:rsid w:val="002044EC"/>
    <w:rsid w:val="0020467C"/>
    <w:rsid w:val="0020489C"/>
    <w:rsid w:val="00204CCB"/>
    <w:rsid w:val="00204E23"/>
    <w:rsid w:val="0020500E"/>
    <w:rsid w:val="002050F0"/>
    <w:rsid w:val="002057B1"/>
    <w:rsid w:val="00206A74"/>
    <w:rsid w:val="00207345"/>
    <w:rsid w:val="002075C5"/>
    <w:rsid w:val="0021058D"/>
    <w:rsid w:val="002105B0"/>
    <w:rsid w:val="00210BB0"/>
    <w:rsid w:val="0021149C"/>
    <w:rsid w:val="00211C3A"/>
    <w:rsid w:val="00211D6B"/>
    <w:rsid w:val="00211F8C"/>
    <w:rsid w:val="00212104"/>
    <w:rsid w:val="00212117"/>
    <w:rsid w:val="00212EFE"/>
    <w:rsid w:val="00213AEF"/>
    <w:rsid w:val="002140EB"/>
    <w:rsid w:val="00214663"/>
    <w:rsid w:val="0021483E"/>
    <w:rsid w:val="00215167"/>
    <w:rsid w:val="002154FA"/>
    <w:rsid w:val="00216836"/>
    <w:rsid w:val="00217C97"/>
    <w:rsid w:val="00217F72"/>
    <w:rsid w:val="00220357"/>
    <w:rsid w:val="00220D08"/>
    <w:rsid w:val="00220E5F"/>
    <w:rsid w:val="00220F4B"/>
    <w:rsid w:val="002216D0"/>
    <w:rsid w:val="002219AA"/>
    <w:rsid w:val="00221A21"/>
    <w:rsid w:val="00221B0B"/>
    <w:rsid w:val="002225D9"/>
    <w:rsid w:val="00222B69"/>
    <w:rsid w:val="002230C3"/>
    <w:rsid w:val="002237DF"/>
    <w:rsid w:val="0022502F"/>
    <w:rsid w:val="00225E0C"/>
    <w:rsid w:val="00227616"/>
    <w:rsid w:val="00227D1B"/>
    <w:rsid w:val="0023073F"/>
    <w:rsid w:val="0023155F"/>
    <w:rsid w:val="002315B5"/>
    <w:rsid w:val="00231FCD"/>
    <w:rsid w:val="0023263F"/>
    <w:rsid w:val="00232AE1"/>
    <w:rsid w:val="00232B88"/>
    <w:rsid w:val="00232B96"/>
    <w:rsid w:val="00233328"/>
    <w:rsid w:val="0023341C"/>
    <w:rsid w:val="002334B9"/>
    <w:rsid w:val="00233ADA"/>
    <w:rsid w:val="00233FE5"/>
    <w:rsid w:val="00234E71"/>
    <w:rsid w:val="00234EF9"/>
    <w:rsid w:val="00234F8E"/>
    <w:rsid w:val="002353FA"/>
    <w:rsid w:val="002356FC"/>
    <w:rsid w:val="00235A7D"/>
    <w:rsid w:val="00235B5F"/>
    <w:rsid w:val="00236741"/>
    <w:rsid w:val="00236C2E"/>
    <w:rsid w:val="002374C1"/>
    <w:rsid w:val="002400F4"/>
    <w:rsid w:val="002401CC"/>
    <w:rsid w:val="002403EA"/>
    <w:rsid w:val="002405F6"/>
    <w:rsid w:val="00240610"/>
    <w:rsid w:val="00240B6C"/>
    <w:rsid w:val="00240BE5"/>
    <w:rsid w:val="002411FA"/>
    <w:rsid w:val="002414D3"/>
    <w:rsid w:val="00241C07"/>
    <w:rsid w:val="00241C30"/>
    <w:rsid w:val="0024224B"/>
    <w:rsid w:val="00242253"/>
    <w:rsid w:val="0024270D"/>
    <w:rsid w:val="00242B41"/>
    <w:rsid w:val="002434A3"/>
    <w:rsid w:val="002442AE"/>
    <w:rsid w:val="00244363"/>
    <w:rsid w:val="00244371"/>
    <w:rsid w:val="00244918"/>
    <w:rsid w:val="00244E31"/>
    <w:rsid w:val="0024544B"/>
    <w:rsid w:val="00245772"/>
    <w:rsid w:val="00245806"/>
    <w:rsid w:val="002458F1"/>
    <w:rsid w:val="00245E56"/>
    <w:rsid w:val="002464BE"/>
    <w:rsid w:val="00246BF9"/>
    <w:rsid w:val="00246CE6"/>
    <w:rsid w:val="00247BEE"/>
    <w:rsid w:val="0025021D"/>
    <w:rsid w:val="00250227"/>
    <w:rsid w:val="0025061A"/>
    <w:rsid w:val="00250986"/>
    <w:rsid w:val="002509E1"/>
    <w:rsid w:val="00250AFB"/>
    <w:rsid w:val="00250FCE"/>
    <w:rsid w:val="00251D10"/>
    <w:rsid w:val="00253276"/>
    <w:rsid w:val="0025346E"/>
    <w:rsid w:val="002535E8"/>
    <w:rsid w:val="00253C46"/>
    <w:rsid w:val="00254099"/>
    <w:rsid w:val="00254B10"/>
    <w:rsid w:val="00254CA4"/>
    <w:rsid w:val="00254D48"/>
    <w:rsid w:val="00254E85"/>
    <w:rsid w:val="00254FB3"/>
    <w:rsid w:val="00255671"/>
    <w:rsid w:val="002556BA"/>
    <w:rsid w:val="00255DDC"/>
    <w:rsid w:val="002560BE"/>
    <w:rsid w:val="002561F4"/>
    <w:rsid w:val="00256400"/>
    <w:rsid w:val="0025669C"/>
    <w:rsid w:val="0025710B"/>
    <w:rsid w:val="0025737C"/>
    <w:rsid w:val="0025780D"/>
    <w:rsid w:val="0026056D"/>
    <w:rsid w:val="0026064A"/>
    <w:rsid w:val="002606E8"/>
    <w:rsid w:val="0026088C"/>
    <w:rsid w:val="00260EB7"/>
    <w:rsid w:val="002610C4"/>
    <w:rsid w:val="00261ACD"/>
    <w:rsid w:val="002624B9"/>
    <w:rsid w:val="00262BF5"/>
    <w:rsid w:val="00262F83"/>
    <w:rsid w:val="002639F5"/>
    <w:rsid w:val="00263D54"/>
    <w:rsid w:val="00265EDD"/>
    <w:rsid w:val="0026662B"/>
    <w:rsid w:val="00266823"/>
    <w:rsid w:val="00266B78"/>
    <w:rsid w:val="00266D17"/>
    <w:rsid w:val="00267D92"/>
    <w:rsid w:val="00267D96"/>
    <w:rsid w:val="0027113D"/>
    <w:rsid w:val="00272722"/>
    <w:rsid w:val="002734FE"/>
    <w:rsid w:val="00274246"/>
    <w:rsid w:val="0027458F"/>
    <w:rsid w:val="00274B25"/>
    <w:rsid w:val="00276BDD"/>
    <w:rsid w:val="00276C08"/>
    <w:rsid w:val="00276DB8"/>
    <w:rsid w:val="002775CD"/>
    <w:rsid w:val="0027782A"/>
    <w:rsid w:val="00277B3C"/>
    <w:rsid w:val="00277DFB"/>
    <w:rsid w:val="00277EA3"/>
    <w:rsid w:val="00280856"/>
    <w:rsid w:val="00280FE1"/>
    <w:rsid w:val="0028113D"/>
    <w:rsid w:val="00281161"/>
    <w:rsid w:val="002817BE"/>
    <w:rsid w:val="002820C3"/>
    <w:rsid w:val="0028335A"/>
    <w:rsid w:val="002833F1"/>
    <w:rsid w:val="00283583"/>
    <w:rsid w:val="00283B33"/>
    <w:rsid w:val="00283CD8"/>
    <w:rsid w:val="00283DF9"/>
    <w:rsid w:val="00284635"/>
    <w:rsid w:val="00284655"/>
    <w:rsid w:val="00284CD0"/>
    <w:rsid w:val="00284D41"/>
    <w:rsid w:val="002859E8"/>
    <w:rsid w:val="00285BA3"/>
    <w:rsid w:val="00285C0B"/>
    <w:rsid w:val="00286290"/>
    <w:rsid w:val="0028706F"/>
    <w:rsid w:val="002873BB"/>
    <w:rsid w:val="002877DF"/>
    <w:rsid w:val="00287A8C"/>
    <w:rsid w:val="00290169"/>
    <w:rsid w:val="002902B0"/>
    <w:rsid w:val="002903F1"/>
    <w:rsid w:val="00290D44"/>
    <w:rsid w:val="00290F32"/>
    <w:rsid w:val="0029129C"/>
    <w:rsid w:val="002912D4"/>
    <w:rsid w:val="0029144A"/>
    <w:rsid w:val="00291E3E"/>
    <w:rsid w:val="00291F13"/>
    <w:rsid w:val="0029250D"/>
    <w:rsid w:val="002927E6"/>
    <w:rsid w:val="00292BBD"/>
    <w:rsid w:val="00292FB6"/>
    <w:rsid w:val="002932C8"/>
    <w:rsid w:val="0029384E"/>
    <w:rsid w:val="00294157"/>
    <w:rsid w:val="00294301"/>
    <w:rsid w:val="00294B57"/>
    <w:rsid w:val="00294FF5"/>
    <w:rsid w:val="00295F4A"/>
    <w:rsid w:val="002965A7"/>
    <w:rsid w:val="00296905"/>
    <w:rsid w:val="00296ADF"/>
    <w:rsid w:val="00297169"/>
    <w:rsid w:val="002974D1"/>
    <w:rsid w:val="002979B9"/>
    <w:rsid w:val="00297A43"/>
    <w:rsid w:val="00297C8E"/>
    <w:rsid w:val="002A00E6"/>
    <w:rsid w:val="002A0AC7"/>
    <w:rsid w:val="002A2499"/>
    <w:rsid w:val="002A29D1"/>
    <w:rsid w:val="002A30E2"/>
    <w:rsid w:val="002A34DA"/>
    <w:rsid w:val="002A37E6"/>
    <w:rsid w:val="002A3CAF"/>
    <w:rsid w:val="002A4312"/>
    <w:rsid w:val="002A4604"/>
    <w:rsid w:val="002A47FE"/>
    <w:rsid w:val="002A56DA"/>
    <w:rsid w:val="002A58C0"/>
    <w:rsid w:val="002A6921"/>
    <w:rsid w:val="002A7305"/>
    <w:rsid w:val="002A7D0E"/>
    <w:rsid w:val="002B029E"/>
    <w:rsid w:val="002B08A6"/>
    <w:rsid w:val="002B15C2"/>
    <w:rsid w:val="002B1DE2"/>
    <w:rsid w:val="002B1E1D"/>
    <w:rsid w:val="002B215F"/>
    <w:rsid w:val="002B2286"/>
    <w:rsid w:val="002B2422"/>
    <w:rsid w:val="002B2752"/>
    <w:rsid w:val="002B365D"/>
    <w:rsid w:val="002B376A"/>
    <w:rsid w:val="002B3792"/>
    <w:rsid w:val="002B3D0B"/>
    <w:rsid w:val="002B5C1D"/>
    <w:rsid w:val="002B6703"/>
    <w:rsid w:val="002B6DF9"/>
    <w:rsid w:val="002B7147"/>
    <w:rsid w:val="002B767F"/>
    <w:rsid w:val="002B795C"/>
    <w:rsid w:val="002B7FE5"/>
    <w:rsid w:val="002C0272"/>
    <w:rsid w:val="002C15A0"/>
    <w:rsid w:val="002C16BF"/>
    <w:rsid w:val="002C211C"/>
    <w:rsid w:val="002C21F7"/>
    <w:rsid w:val="002C25D9"/>
    <w:rsid w:val="002C2CDF"/>
    <w:rsid w:val="002C4C10"/>
    <w:rsid w:val="002C5118"/>
    <w:rsid w:val="002C53F6"/>
    <w:rsid w:val="002C562F"/>
    <w:rsid w:val="002C6678"/>
    <w:rsid w:val="002C68A1"/>
    <w:rsid w:val="002C6DC7"/>
    <w:rsid w:val="002C7DF8"/>
    <w:rsid w:val="002D0B76"/>
    <w:rsid w:val="002D13BC"/>
    <w:rsid w:val="002D1574"/>
    <w:rsid w:val="002D15AA"/>
    <w:rsid w:val="002D1E47"/>
    <w:rsid w:val="002D2270"/>
    <w:rsid w:val="002D24C1"/>
    <w:rsid w:val="002D25CD"/>
    <w:rsid w:val="002D2E7C"/>
    <w:rsid w:val="002D3A6A"/>
    <w:rsid w:val="002D3E9F"/>
    <w:rsid w:val="002D456B"/>
    <w:rsid w:val="002D45BC"/>
    <w:rsid w:val="002D4CF5"/>
    <w:rsid w:val="002D5160"/>
    <w:rsid w:val="002D52DC"/>
    <w:rsid w:val="002D5807"/>
    <w:rsid w:val="002D5D11"/>
    <w:rsid w:val="002D605A"/>
    <w:rsid w:val="002D6608"/>
    <w:rsid w:val="002D6EA2"/>
    <w:rsid w:val="002D720F"/>
    <w:rsid w:val="002D7442"/>
    <w:rsid w:val="002D76C5"/>
    <w:rsid w:val="002D795E"/>
    <w:rsid w:val="002D7B9B"/>
    <w:rsid w:val="002E0053"/>
    <w:rsid w:val="002E0B6C"/>
    <w:rsid w:val="002E1868"/>
    <w:rsid w:val="002E1976"/>
    <w:rsid w:val="002E1A16"/>
    <w:rsid w:val="002E24E8"/>
    <w:rsid w:val="002E2D4A"/>
    <w:rsid w:val="002E34AE"/>
    <w:rsid w:val="002E3BC1"/>
    <w:rsid w:val="002E3D60"/>
    <w:rsid w:val="002E50A7"/>
    <w:rsid w:val="002E5C66"/>
    <w:rsid w:val="002E6F8F"/>
    <w:rsid w:val="002E772C"/>
    <w:rsid w:val="002F082B"/>
    <w:rsid w:val="002F0C6C"/>
    <w:rsid w:val="002F0CA2"/>
    <w:rsid w:val="002F0FCD"/>
    <w:rsid w:val="002F18AF"/>
    <w:rsid w:val="002F2952"/>
    <w:rsid w:val="002F307F"/>
    <w:rsid w:val="002F3153"/>
    <w:rsid w:val="002F327F"/>
    <w:rsid w:val="002F44DE"/>
    <w:rsid w:val="002F52A5"/>
    <w:rsid w:val="002F5895"/>
    <w:rsid w:val="002F5DA7"/>
    <w:rsid w:val="002F6923"/>
    <w:rsid w:val="002F6B43"/>
    <w:rsid w:val="002F6B5A"/>
    <w:rsid w:val="002F6EFF"/>
    <w:rsid w:val="002F728E"/>
    <w:rsid w:val="002F72AD"/>
    <w:rsid w:val="002F7475"/>
    <w:rsid w:val="002F75FD"/>
    <w:rsid w:val="002F7635"/>
    <w:rsid w:val="002F7781"/>
    <w:rsid w:val="002F7993"/>
    <w:rsid w:val="002F7AB1"/>
    <w:rsid w:val="002F7E57"/>
    <w:rsid w:val="0030037A"/>
    <w:rsid w:val="003003BF"/>
    <w:rsid w:val="00301BD0"/>
    <w:rsid w:val="003028FE"/>
    <w:rsid w:val="00302B35"/>
    <w:rsid w:val="00302FA9"/>
    <w:rsid w:val="0030368B"/>
    <w:rsid w:val="0030393B"/>
    <w:rsid w:val="00303F75"/>
    <w:rsid w:val="003049A9"/>
    <w:rsid w:val="00304AB4"/>
    <w:rsid w:val="00304F5F"/>
    <w:rsid w:val="00305BA2"/>
    <w:rsid w:val="00306607"/>
    <w:rsid w:val="003068A3"/>
    <w:rsid w:val="00306A95"/>
    <w:rsid w:val="00306E1D"/>
    <w:rsid w:val="00307E2A"/>
    <w:rsid w:val="0031021E"/>
    <w:rsid w:val="00310866"/>
    <w:rsid w:val="003109DF"/>
    <w:rsid w:val="003120B2"/>
    <w:rsid w:val="0031240C"/>
    <w:rsid w:val="003136F3"/>
    <w:rsid w:val="00313CED"/>
    <w:rsid w:val="003147CB"/>
    <w:rsid w:val="00314AD6"/>
    <w:rsid w:val="00315773"/>
    <w:rsid w:val="003161DB"/>
    <w:rsid w:val="00316252"/>
    <w:rsid w:val="003164E0"/>
    <w:rsid w:val="00317145"/>
    <w:rsid w:val="00317A02"/>
    <w:rsid w:val="003209D8"/>
    <w:rsid w:val="00320ECE"/>
    <w:rsid w:val="003214D5"/>
    <w:rsid w:val="0032195B"/>
    <w:rsid w:val="00321AA5"/>
    <w:rsid w:val="00321F18"/>
    <w:rsid w:val="00322106"/>
    <w:rsid w:val="0032289D"/>
    <w:rsid w:val="003239E3"/>
    <w:rsid w:val="00323B50"/>
    <w:rsid w:val="00324124"/>
    <w:rsid w:val="003242C5"/>
    <w:rsid w:val="00324569"/>
    <w:rsid w:val="00325593"/>
    <w:rsid w:val="00325792"/>
    <w:rsid w:val="003266F3"/>
    <w:rsid w:val="00326DA0"/>
    <w:rsid w:val="0032704C"/>
    <w:rsid w:val="003271E5"/>
    <w:rsid w:val="00327279"/>
    <w:rsid w:val="00327497"/>
    <w:rsid w:val="003274E6"/>
    <w:rsid w:val="003301C9"/>
    <w:rsid w:val="0033049A"/>
    <w:rsid w:val="003306C4"/>
    <w:rsid w:val="003307E0"/>
    <w:rsid w:val="00331057"/>
    <w:rsid w:val="00331233"/>
    <w:rsid w:val="00331C25"/>
    <w:rsid w:val="00332CD6"/>
    <w:rsid w:val="00333A12"/>
    <w:rsid w:val="00334182"/>
    <w:rsid w:val="003343EB"/>
    <w:rsid w:val="003344E2"/>
    <w:rsid w:val="00335517"/>
    <w:rsid w:val="00336609"/>
    <w:rsid w:val="00336845"/>
    <w:rsid w:val="00336B77"/>
    <w:rsid w:val="00336C43"/>
    <w:rsid w:val="00337222"/>
    <w:rsid w:val="003376EE"/>
    <w:rsid w:val="0033771C"/>
    <w:rsid w:val="00337921"/>
    <w:rsid w:val="0034057F"/>
    <w:rsid w:val="00340863"/>
    <w:rsid w:val="00340A80"/>
    <w:rsid w:val="0034108B"/>
    <w:rsid w:val="00341126"/>
    <w:rsid w:val="00341686"/>
    <w:rsid w:val="00341854"/>
    <w:rsid w:val="00341C11"/>
    <w:rsid w:val="003420A6"/>
    <w:rsid w:val="003427C7"/>
    <w:rsid w:val="00342B0C"/>
    <w:rsid w:val="003431EC"/>
    <w:rsid w:val="00343AC8"/>
    <w:rsid w:val="00343D67"/>
    <w:rsid w:val="00345EA8"/>
    <w:rsid w:val="003467C3"/>
    <w:rsid w:val="00346BEE"/>
    <w:rsid w:val="00347686"/>
    <w:rsid w:val="00347A26"/>
    <w:rsid w:val="00350323"/>
    <w:rsid w:val="003507E3"/>
    <w:rsid w:val="00350E19"/>
    <w:rsid w:val="00352751"/>
    <w:rsid w:val="00352D33"/>
    <w:rsid w:val="00354F4B"/>
    <w:rsid w:val="00355713"/>
    <w:rsid w:val="00355A9C"/>
    <w:rsid w:val="00355D29"/>
    <w:rsid w:val="00355DDA"/>
    <w:rsid w:val="0035648A"/>
    <w:rsid w:val="00356508"/>
    <w:rsid w:val="00356A62"/>
    <w:rsid w:val="003573A7"/>
    <w:rsid w:val="00357915"/>
    <w:rsid w:val="0035796A"/>
    <w:rsid w:val="00357A53"/>
    <w:rsid w:val="00357AF4"/>
    <w:rsid w:val="00357F6C"/>
    <w:rsid w:val="0036110C"/>
    <w:rsid w:val="003616B1"/>
    <w:rsid w:val="00361D15"/>
    <w:rsid w:val="00361F83"/>
    <w:rsid w:val="0036211A"/>
    <w:rsid w:val="003625D1"/>
    <w:rsid w:val="003627BE"/>
    <w:rsid w:val="00362F9C"/>
    <w:rsid w:val="00363C68"/>
    <w:rsid w:val="0036406A"/>
    <w:rsid w:val="003648A1"/>
    <w:rsid w:val="00365CB1"/>
    <w:rsid w:val="00365D89"/>
    <w:rsid w:val="00366349"/>
    <w:rsid w:val="00366A3F"/>
    <w:rsid w:val="00367F3F"/>
    <w:rsid w:val="00370099"/>
    <w:rsid w:val="003708C0"/>
    <w:rsid w:val="0037116B"/>
    <w:rsid w:val="003719EF"/>
    <w:rsid w:val="003721FB"/>
    <w:rsid w:val="0037237C"/>
    <w:rsid w:val="00372B9F"/>
    <w:rsid w:val="00373D4C"/>
    <w:rsid w:val="00374189"/>
    <w:rsid w:val="003743D9"/>
    <w:rsid w:val="00374A12"/>
    <w:rsid w:val="00374B83"/>
    <w:rsid w:val="00374D64"/>
    <w:rsid w:val="00374D80"/>
    <w:rsid w:val="00375086"/>
    <w:rsid w:val="00375ADB"/>
    <w:rsid w:val="00375E73"/>
    <w:rsid w:val="00375F39"/>
    <w:rsid w:val="003764BE"/>
    <w:rsid w:val="003768BC"/>
    <w:rsid w:val="00380037"/>
    <w:rsid w:val="003806DB"/>
    <w:rsid w:val="00380D0E"/>
    <w:rsid w:val="003812D4"/>
    <w:rsid w:val="0038146F"/>
    <w:rsid w:val="00381508"/>
    <w:rsid w:val="00381888"/>
    <w:rsid w:val="003829F9"/>
    <w:rsid w:val="00382B02"/>
    <w:rsid w:val="00382E97"/>
    <w:rsid w:val="003836CD"/>
    <w:rsid w:val="00384191"/>
    <w:rsid w:val="00384C9A"/>
    <w:rsid w:val="00384EB6"/>
    <w:rsid w:val="003855CA"/>
    <w:rsid w:val="00385720"/>
    <w:rsid w:val="00385759"/>
    <w:rsid w:val="00386BFA"/>
    <w:rsid w:val="0038765B"/>
    <w:rsid w:val="003911A0"/>
    <w:rsid w:val="003918E2"/>
    <w:rsid w:val="00391AF5"/>
    <w:rsid w:val="00391C52"/>
    <w:rsid w:val="00392036"/>
    <w:rsid w:val="00392092"/>
    <w:rsid w:val="003920C8"/>
    <w:rsid w:val="00392771"/>
    <w:rsid w:val="00393205"/>
    <w:rsid w:val="003942CC"/>
    <w:rsid w:val="00394494"/>
    <w:rsid w:val="0039475D"/>
    <w:rsid w:val="00394FA6"/>
    <w:rsid w:val="0039549A"/>
    <w:rsid w:val="00395D6A"/>
    <w:rsid w:val="00396D9E"/>
    <w:rsid w:val="00397D57"/>
    <w:rsid w:val="00397E15"/>
    <w:rsid w:val="003A07E9"/>
    <w:rsid w:val="003A0C1F"/>
    <w:rsid w:val="003A0C9A"/>
    <w:rsid w:val="003A0EB8"/>
    <w:rsid w:val="003A13A5"/>
    <w:rsid w:val="003A1A98"/>
    <w:rsid w:val="003A1DF1"/>
    <w:rsid w:val="003A238F"/>
    <w:rsid w:val="003A3E4D"/>
    <w:rsid w:val="003A4472"/>
    <w:rsid w:val="003A5186"/>
    <w:rsid w:val="003A55FC"/>
    <w:rsid w:val="003A58DF"/>
    <w:rsid w:val="003A5957"/>
    <w:rsid w:val="003A5A68"/>
    <w:rsid w:val="003A5B05"/>
    <w:rsid w:val="003A5E8F"/>
    <w:rsid w:val="003A5FBE"/>
    <w:rsid w:val="003A6063"/>
    <w:rsid w:val="003A6E71"/>
    <w:rsid w:val="003B00BA"/>
    <w:rsid w:val="003B0395"/>
    <w:rsid w:val="003B0629"/>
    <w:rsid w:val="003B078B"/>
    <w:rsid w:val="003B091F"/>
    <w:rsid w:val="003B096A"/>
    <w:rsid w:val="003B0B72"/>
    <w:rsid w:val="003B1493"/>
    <w:rsid w:val="003B1A2B"/>
    <w:rsid w:val="003B238A"/>
    <w:rsid w:val="003B293A"/>
    <w:rsid w:val="003B2C5B"/>
    <w:rsid w:val="003B3811"/>
    <w:rsid w:val="003B468D"/>
    <w:rsid w:val="003B4712"/>
    <w:rsid w:val="003B49BA"/>
    <w:rsid w:val="003B4D2D"/>
    <w:rsid w:val="003B4D7F"/>
    <w:rsid w:val="003B5E11"/>
    <w:rsid w:val="003B6126"/>
    <w:rsid w:val="003B7447"/>
    <w:rsid w:val="003B7F08"/>
    <w:rsid w:val="003B7FC1"/>
    <w:rsid w:val="003C0125"/>
    <w:rsid w:val="003C0669"/>
    <w:rsid w:val="003C13D8"/>
    <w:rsid w:val="003C18CD"/>
    <w:rsid w:val="003C1A04"/>
    <w:rsid w:val="003C1C06"/>
    <w:rsid w:val="003C1FAA"/>
    <w:rsid w:val="003C24BF"/>
    <w:rsid w:val="003C2936"/>
    <w:rsid w:val="003C2999"/>
    <w:rsid w:val="003C2FEA"/>
    <w:rsid w:val="003C3A83"/>
    <w:rsid w:val="003C3F26"/>
    <w:rsid w:val="003C40D7"/>
    <w:rsid w:val="003C4B8F"/>
    <w:rsid w:val="003C4EA9"/>
    <w:rsid w:val="003C50C4"/>
    <w:rsid w:val="003C531C"/>
    <w:rsid w:val="003C5F83"/>
    <w:rsid w:val="003C5FC9"/>
    <w:rsid w:val="003C63A1"/>
    <w:rsid w:val="003C75C2"/>
    <w:rsid w:val="003C7C91"/>
    <w:rsid w:val="003D02AB"/>
    <w:rsid w:val="003D0432"/>
    <w:rsid w:val="003D05B6"/>
    <w:rsid w:val="003D06CA"/>
    <w:rsid w:val="003D084B"/>
    <w:rsid w:val="003D10B7"/>
    <w:rsid w:val="003D213E"/>
    <w:rsid w:val="003D2152"/>
    <w:rsid w:val="003D223D"/>
    <w:rsid w:val="003D2739"/>
    <w:rsid w:val="003D2A07"/>
    <w:rsid w:val="003D2CB6"/>
    <w:rsid w:val="003D2D33"/>
    <w:rsid w:val="003D2EDE"/>
    <w:rsid w:val="003D3AA2"/>
    <w:rsid w:val="003D3C7B"/>
    <w:rsid w:val="003D3EAF"/>
    <w:rsid w:val="003D3F6B"/>
    <w:rsid w:val="003D4265"/>
    <w:rsid w:val="003D4300"/>
    <w:rsid w:val="003D44D8"/>
    <w:rsid w:val="003D606E"/>
    <w:rsid w:val="003D6410"/>
    <w:rsid w:val="003D666E"/>
    <w:rsid w:val="003D6702"/>
    <w:rsid w:val="003D67C5"/>
    <w:rsid w:val="003E007A"/>
    <w:rsid w:val="003E0661"/>
    <w:rsid w:val="003E0BED"/>
    <w:rsid w:val="003E0F93"/>
    <w:rsid w:val="003E1AA5"/>
    <w:rsid w:val="003E26EF"/>
    <w:rsid w:val="003E2748"/>
    <w:rsid w:val="003E2862"/>
    <w:rsid w:val="003E329E"/>
    <w:rsid w:val="003E32E6"/>
    <w:rsid w:val="003E3747"/>
    <w:rsid w:val="003E3844"/>
    <w:rsid w:val="003E3867"/>
    <w:rsid w:val="003E3A51"/>
    <w:rsid w:val="003E3D89"/>
    <w:rsid w:val="003E4039"/>
    <w:rsid w:val="003E40EA"/>
    <w:rsid w:val="003E4848"/>
    <w:rsid w:val="003E61DB"/>
    <w:rsid w:val="003E63E3"/>
    <w:rsid w:val="003E6DC0"/>
    <w:rsid w:val="003E6E83"/>
    <w:rsid w:val="003E75C9"/>
    <w:rsid w:val="003E7A25"/>
    <w:rsid w:val="003E7B38"/>
    <w:rsid w:val="003F06EB"/>
    <w:rsid w:val="003F0817"/>
    <w:rsid w:val="003F095C"/>
    <w:rsid w:val="003F0D9F"/>
    <w:rsid w:val="003F1094"/>
    <w:rsid w:val="003F1320"/>
    <w:rsid w:val="003F1B9B"/>
    <w:rsid w:val="003F20B9"/>
    <w:rsid w:val="003F36F1"/>
    <w:rsid w:val="003F3D41"/>
    <w:rsid w:val="003F5556"/>
    <w:rsid w:val="003F5D72"/>
    <w:rsid w:val="003F647E"/>
    <w:rsid w:val="003F6CD6"/>
    <w:rsid w:val="003F7317"/>
    <w:rsid w:val="003F78AF"/>
    <w:rsid w:val="003F7BC3"/>
    <w:rsid w:val="004003D4"/>
    <w:rsid w:val="00400914"/>
    <w:rsid w:val="004009AD"/>
    <w:rsid w:val="00400A6A"/>
    <w:rsid w:val="00401338"/>
    <w:rsid w:val="004014B1"/>
    <w:rsid w:val="00401BC1"/>
    <w:rsid w:val="004021F3"/>
    <w:rsid w:val="00402436"/>
    <w:rsid w:val="00402ABB"/>
    <w:rsid w:val="00402D5D"/>
    <w:rsid w:val="00403059"/>
    <w:rsid w:val="004031D9"/>
    <w:rsid w:val="0040341A"/>
    <w:rsid w:val="00403BB9"/>
    <w:rsid w:val="00404290"/>
    <w:rsid w:val="00404727"/>
    <w:rsid w:val="0040482B"/>
    <w:rsid w:val="00404B4A"/>
    <w:rsid w:val="00404D15"/>
    <w:rsid w:val="00404DBB"/>
    <w:rsid w:val="00404F83"/>
    <w:rsid w:val="0040668E"/>
    <w:rsid w:val="00406F74"/>
    <w:rsid w:val="0040728F"/>
    <w:rsid w:val="00407464"/>
    <w:rsid w:val="00410454"/>
    <w:rsid w:val="00410EE9"/>
    <w:rsid w:val="00410FE3"/>
    <w:rsid w:val="004110D0"/>
    <w:rsid w:val="00411117"/>
    <w:rsid w:val="00411E5F"/>
    <w:rsid w:val="004122CA"/>
    <w:rsid w:val="0041273A"/>
    <w:rsid w:val="00412D25"/>
    <w:rsid w:val="00412D9B"/>
    <w:rsid w:val="004130C4"/>
    <w:rsid w:val="0041446B"/>
    <w:rsid w:val="0041473E"/>
    <w:rsid w:val="00414BC1"/>
    <w:rsid w:val="004152A4"/>
    <w:rsid w:val="004168F0"/>
    <w:rsid w:val="0041693C"/>
    <w:rsid w:val="00416948"/>
    <w:rsid w:val="00416F0E"/>
    <w:rsid w:val="00417B21"/>
    <w:rsid w:val="00420332"/>
    <w:rsid w:val="004207BF"/>
    <w:rsid w:val="004214EF"/>
    <w:rsid w:val="004217FF"/>
    <w:rsid w:val="00421BE3"/>
    <w:rsid w:val="00421C4C"/>
    <w:rsid w:val="0042250A"/>
    <w:rsid w:val="0042297A"/>
    <w:rsid w:val="004231A2"/>
    <w:rsid w:val="00423340"/>
    <w:rsid w:val="00423533"/>
    <w:rsid w:val="00424024"/>
    <w:rsid w:val="00425C95"/>
    <w:rsid w:val="00426421"/>
    <w:rsid w:val="00426C63"/>
    <w:rsid w:val="00427A6E"/>
    <w:rsid w:val="00430325"/>
    <w:rsid w:val="004307A8"/>
    <w:rsid w:val="004307B0"/>
    <w:rsid w:val="004314CC"/>
    <w:rsid w:val="00431731"/>
    <w:rsid w:val="00431D2F"/>
    <w:rsid w:val="00433312"/>
    <w:rsid w:val="0043339C"/>
    <w:rsid w:val="0043358F"/>
    <w:rsid w:val="00433824"/>
    <w:rsid w:val="00433E95"/>
    <w:rsid w:val="00434144"/>
    <w:rsid w:val="004354D2"/>
    <w:rsid w:val="00435705"/>
    <w:rsid w:val="00435E7A"/>
    <w:rsid w:val="004367E2"/>
    <w:rsid w:val="00437323"/>
    <w:rsid w:val="00437346"/>
    <w:rsid w:val="00437B33"/>
    <w:rsid w:val="00437DF2"/>
    <w:rsid w:val="0044054C"/>
    <w:rsid w:val="0044094A"/>
    <w:rsid w:val="00441755"/>
    <w:rsid w:val="0044184F"/>
    <w:rsid w:val="0044282B"/>
    <w:rsid w:val="0044299A"/>
    <w:rsid w:val="00442EAF"/>
    <w:rsid w:val="00443B69"/>
    <w:rsid w:val="00443D76"/>
    <w:rsid w:val="004446FC"/>
    <w:rsid w:val="00444A24"/>
    <w:rsid w:val="00444D1C"/>
    <w:rsid w:val="004450C0"/>
    <w:rsid w:val="00445364"/>
    <w:rsid w:val="0044552A"/>
    <w:rsid w:val="004455C4"/>
    <w:rsid w:val="004466C3"/>
    <w:rsid w:val="00447471"/>
    <w:rsid w:val="004501EA"/>
    <w:rsid w:val="00450285"/>
    <w:rsid w:val="004502A2"/>
    <w:rsid w:val="0045062F"/>
    <w:rsid w:val="00451108"/>
    <w:rsid w:val="004512D1"/>
    <w:rsid w:val="004516D1"/>
    <w:rsid w:val="0045238D"/>
    <w:rsid w:val="004524E2"/>
    <w:rsid w:val="00453034"/>
    <w:rsid w:val="004534C6"/>
    <w:rsid w:val="004538FC"/>
    <w:rsid w:val="004540BA"/>
    <w:rsid w:val="00454348"/>
    <w:rsid w:val="0045465F"/>
    <w:rsid w:val="00454BB1"/>
    <w:rsid w:val="00454F00"/>
    <w:rsid w:val="0045532C"/>
    <w:rsid w:val="004553AD"/>
    <w:rsid w:val="004553B4"/>
    <w:rsid w:val="004559B7"/>
    <w:rsid w:val="0045649D"/>
    <w:rsid w:val="00456528"/>
    <w:rsid w:val="00456C29"/>
    <w:rsid w:val="00456F59"/>
    <w:rsid w:val="00456F64"/>
    <w:rsid w:val="00457185"/>
    <w:rsid w:val="0045738B"/>
    <w:rsid w:val="0045780F"/>
    <w:rsid w:val="00460D3B"/>
    <w:rsid w:val="004610AB"/>
    <w:rsid w:val="004618F0"/>
    <w:rsid w:val="00462506"/>
    <w:rsid w:val="004625B6"/>
    <w:rsid w:val="0046292B"/>
    <w:rsid w:val="00462FA4"/>
    <w:rsid w:val="00463C2E"/>
    <w:rsid w:val="004648B8"/>
    <w:rsid w:val="00464BF7"/>
    <w:rsid w:val="00464D2C"/>
    <w:rsid w:val="00465155"/>
    <w:rsid w:val="004656E0"/>
    <w:rsid w:val="00465B09"/>
    <w:rsid w:val="004660A8"/>
    <w:rsid w:val="00467159"/>
    <w:rsid w:val="004671CA"/>
    <w:rsid w:val="00467845"/>
    <w:rsid w:val="00467846"/>
    <w:rsid w:val="004700DC"/>
    <w:rsid w:val="00470184"/>
    <w:rsid w:val="00470B14"/>
    <w:rsid w:val="004712A6"/>
    <w:rsid w:val="00471408"/>
    <w:rsid w:val="0047143B"/>
    <w:rsid w:val="00471D98"/>
    <w:rsid w:val="004721E7"/>
    <w:rsid w:val="00472833"/>
    <w:rsid w:val="00472E8C"/>
    <w:rsid w:val="004735AA"/>
    <w:rsid w:val="0047384A"/>
    <w:rsid w:val="00473F93"/>
    <w:rsid w:val="004741E0"/>
    <w:rsid w:val="00474D33"/>
    <w:rsid w:val="00475661"/>
    <w:rsid w:val="004757E4"/>
    <w:rsid w:val="00475DF2"/>
    <w:rsid w:val="00476301"/>
    <w:rsid w:val="00476FAD"/>
    <w:rsid w:val="00476FE8"/>
    <w:rsid w:val="004801C0"/>
    <w:rsid w:val="0048057B"/>
    <w:rsid w:val="00480990"/>
    <w:rsid w:val="00480D77"/>
    <w:rsid w:val="00481FD8"/>
    <w:rsid w:val="0048218B"/>
    <w:rsid w:val="004823DC"/>
    <w:rsid w:val="0048240B"/>
    <w:rsid w:val="0048298E"/>
    <w:rsid w:val="00482F80"/>
    <w:rsid w:val="00483221"/>
    <w:rsid w:val="00483E66"/>
    <w:rsid w:val="00483EB6"/>
    <w:rsid w:val="00484078"/>
    <w:rsid w:val="00484818"/>
    <w:rsid w:val="00484B71"/>
    <w:rsid w:val="00485050"/>
    <w:rsid w:val="00485369"/>
    <w:rsid w:val="00485789"/>
    <w:rsid w:val="00485A15"/>
    <w:rsid w:val="00485FCF"/>
    <w:rsid w:val="00486A01"/>
    <w:rsid w:val="00486B0F"/>
    <w:rsid w:val="00487075"/>
    <w:rsid w:val="00487157"/>
    <w:rsid w:val="0048790D"/>
    <w:rsid w:val="00487A6A"/>
    <w:rsid w:val="0049057D"/>
    <w:rsid w:val="00490878"/>
    <w:rsid w:val="004910AB"/>
    <w:rsid w:val="00491B81"/>
    <w:rsid w:val="00491E2C"/>
    <w:rsid w:val="004920EA"/>
    <w:rsid w:val="0049220D"/>
    <w:rsid w:val="00493EDD"/>
    <w:rsid w:val="0049421F"/>
    <w:rsid w:val="00494A99"/>
    <w:rsid w:val="00494D58"/>
    <w:rsid w:val="00494F21"/>
    <w:rsid w:val="00495818"/>
    <w:rsid w:val="004964AF"/>
    <w:rsid w:val="00496BA7"/>
    <w:rsid w:val="00496D1E"/>
    <w:rsid w:val="00496E8F"/>
    <w:rsid w:val="00497240"/>
    <w:rsid w:val="0049779C"/>
    <w:rsid w:val="00497809"/>
    <w:rsid w:val="00497C9C"/>
    <w:rsid w:val="004A11B7"/>
    <w:rsid w:val="004A147A"/>
    <w:rsid w:val="004A1D62"/>
    <w:rsid w:val="004A2045"/>
    <w:rsid w:val="004A2465"/>
    <w:rsid w:val="004A258F"/>
    <w:rsid w:val="004A29A8"/>
    <w:rsid w:val="004A2C81"/>
    <w:rsid w:val="004A311A"/>
    <w:rsid w:val="004A3673"/>
    <w:rsid w:val="004A3899"/>
    <w:rsid w:val="004A3DA6"/>
    <w:rsid w:val="004A43F7"/>
    <w:rsid w:val="004A4FAA"/>
    <w:rsid w:val="004A542B"/>
    <w:rsid w:val="004A5900"/>
    <w:rsid w:val="004A5BF7"/>
    <w:rsid w:val="004A6488"/>
    <w:rsid w:val="004A6A90"/>
    <w:rsid w:val="004A6F3E"/>
    <w:rsid w:val="004A75FB"/>
    <w:rsid w:val="004B0349"/>
    <w:rsid w:val="004B12C3"/>
    <w:rsid w:val="004B1ADF"/>
    <w:rsid w:val="004B35C1"/>
    <w:rsid w:val="004B4A3D"/>
    <w:rsid w:val="004B4DA7"/>
    <w:rsid w:val="004B5254"/>
    <w:rsid w:val="004B58F0"/>
    <w:rsid w:val="004B5B1E"/>
    <w:rsid w:val="004B6221"/>
    <w:rsid w:val="004B6412"/>
    <w:rsid w:val="004B6A6A"/>
    <w:rsid w:val="004B71FF"/>
    <w:rsid w:val="004B7434"/>
    <w:rsid w:val="004B79CA"/>
    <w:rsid w:val="004B7D0B"/>
    <w:rsid w:val="004B7E5E"/>
    <w:rsid w:val="004C038E"/>
    <w:rsid w:val="004C084B"/>
    <w:rsid w:val="004C1724"/>
    <w:rsid w:val="004C1BE9"/>
    <w:rsid w:val="004C1D7C"/>
    <w:rsid w:val="004C2265"/>
    <w:rsid w:val="004C26DC"/>
    <w:rsid w:val="004C29D0"/>
    <w:rsid w:val="004C2F3C"/>
    <w:rsid w:val="004C30A6"/>
    <w:rsid w:val="004C363A"/>
    <w:rsid w:val="004C3A9D"/>
    <w:rsid w:val="004C483D"/>
    <w:rsid w:val="004C4BB7"/>
    <w:rsid w:val="004C5B27"/>
    <w:rsid w:val="004C5F7B"/>
    <w:rsid w:val="004C6FFA"/>
    <w:rsid w:val="004C7803"/>
    <w:rsid w:val="004C7948"/>
    <w:rsid w:val="004C7A3B"/>
    <w:rsid w:val="004C7DD6"/>
    <w:rsid w:val="004D06DB"/>
    <w:rsid w:val="004D0B5E"/>
    <w:rsid w:val="004D0D69"/>
    <w:rsid w:val="004D12AA"/>
    <w:rsid w:val="004D17D7"/>
    <w:rsid w:val="004D18C1"/>
    <w:rsid w:val="004D2653"/>
    <w:rsid w:val="004D319A"/>
    <w:rsid w:val="004D41EE"/>
    <w:rsid w:val="004D4F4E"/>
    <w:rsid w:val="004D518B"/>
    <w:rsid w:val="004D5CC0"/>
    <w:rsid w:val="004D5FE1"/>
    <w:rsid w:val="004D6594"/>
    <w:rsid w:val="004D6FE0"/>
    <w:rsid w:val="004D7DBC"/>
    <w:rsid w:val="004E0E2A"/>
    <w:rsid w:val="004E11B1"/>
    <w:rsid w:val="004E1C56"/>
    <w:rsid w:val="004E1F37"/>
    <w:rsid w:val="004E1F8A"/>
    <w:rsid w:val="004E23CF"/>
    <w:rsid w:val="004E2E87"/>
    <w:rsid w:val="004E2EF1"/>
    <w:rsid w:val="004E39B1"/>
    <w:rsid w:val="004E437B"/>
    <w:rsid w:val="004E49A4"/>
    <w:rsid w:val="004E4E06"/>
    <w:rsid w:val="004E4FAB"/>
    <w:rsid w:val="004E6030"/>
    <w:rsid w:val="004E6087"/>
    <w:rsid w:val="004E641A"/>
    <w:rsid w:val="004E65EC"/>
    <w:rsid w:val="004E6BA6"/>
    <w:rsid w:val="004E70EC"/>
    <w:rsid w:val="004E7AB6"/>
    <w:rsid w:val="004E7FAF"/>
    <w:rsid w:val="004F0568"/>
    <w:rsid w:val="004F1019"/>
    <w:rsid w:val="004F11B6"/>
    <w:rsid w:val="004F13AF"/>
    <w:rsid w:val="004F14C4"/>
    <w:rsid w:val="004F1AFC"/>
    <w:rsid w:val="004F2566"/>
    <w:rsid w:val="004F2573"/>
    <w:rsid w:val="004F29A8"/>
    <w:rsid w:val="004F2C34"/>
    <w:rsid w:val="004F2CC8"/>
    <w:rsid w:val="004F2F85"/>
    <w:rsid w:val="004F343E"/>
    <w:rsid w:val="004F3645"/>
    <w:rsid w:val="004F3E22"/>
    <w:rsid w:val="004F4067"/>
    <w:rsid w:val="004F4228"/>
    <w:rsid w:val="004F4300"/>
    <w:rsid w:val="004F48C5"/>
    <w:rsid w:val="004F4AA7"/>
    <w:rsid w:val="004F4ACD"/>
    <w:rsid w:val="004F6756"/>
    <w:rsid w:val="004F6C61"/>
    <w:rsid w:val="004F7169"/>
    <w:rsid w:val="004F745B"/>
    <w:rsid w:val="004F7582"/>
    <w:rsid w:val="005010E5"/>
    <w:rsid w:val="0050182B"/>
    <w:rsid w:val="0050183F"/>
    <w:rsid w:val="00501D8C"/>
    <w:rsid w:val="00501F34"/>
    <w:rsid w:val="00502562"/>
    <w:rsid w:val="005026A3"/>
    <w:rsid w:val="00503086"/>
    <w:rsid w:val="00503C44"/>
    <w:rsid w:val="00503C4C"/>
    <w:rsid w:val="00504463"/>
    <w:rsid w:val="00504642"/>
    <w:rsid w:val="005047E4"/>
    <w:rsid w:val="00504A8C"/>
    <w:rsid w:val="00504C86"/>
    <w:rsid w:val="00505631"/>
    <w:rsid w:val="0050576B"/>
    <w:rsid w:val="00505CC6"/>
    <w:rsid w:val="00507438"/>
    <w:rsid w:val="005077E7"/>
    <w:rsid w:val="005078F0"/>
    <w:rsid w:val="00507B5E"/>
    <w:rsid w:val="00507D7C"/>
    <w:rsid w:val="00510C4D"/>
    <w:rsid w:val="005114BE"/>
    <w:rsid w:val="005122BA"/>
    <w:rsid w:val="00512337"/>
    <w:rsid w:val="005126AE"/>
    <w:rsid w:val="0051299F"/>
    <w:rsid w:val="00512B7E"/>
    <w:rsid w:val="00513721"/>
    <w:rsid w:val="00513CA4"/>
    <w:rsid w:val="0051456C"/>
    <w:rsid w:val="005148F6"/>
    <w:rsid w:val="00514FFC"/>
    <w:rsid w:val="005156DA"/>
    <w:rsid w:val="00516124"/>
    <w:rsid w:val="00516257"/>
    <w:rsid w:val="0051668D"/>
    <w:rsid w:val="00516903"/>
    <w:rsid w:val="00516B6F"/>
    <w:rsid w:val="00516CF9"/>
    <w:rsid w:val="00517496"/>
    <w:rsid w:val="005174E8"/>
    <w:rsid w:val="0051754C"/>
    <w:rsid w:val="00517842"/>
    <w:rsid w:val="0051787E"/>
    <w:rsid w:val="005178DF"/>
    <w:rsid w:val="0052004F"/>
    <w:rsid w:val="0052025C"/>
    <w:rsid w:val="0052028F"/>
    <w:rsid w:val="00521130"/>
    <w:rsid w:val="00521195"/>
    <w:rsid w:val="00521227"/>
    <w:rsid w:val="00521CF3"/>
    <w:rsid w:val="00522258"/>
    <w:rsid w:val="005227C1"/>
    <w:rsid w:val="00523044"/>
    <w:rsid w:val="00523347"/>
    <w:rsid w:val="00523A26"/>
    <w:rsid w:val="00523F29"/>
    <w:rsid w:val="005242FC"/>
    <w:rsid w:val="005249B6"/>
    <w:rsid w:val="00525D41"/>
    <w:rsid w:val="00525E8D"/>
    <w:rsid w:val="00526290"/>
    <w:rsid w:val="0052631D"/>
    <w:rsid w:val="005269BE"/>
    <w:rsid w:val="00526F35"/>
    <w:rsid w:val="005272D0"/>
    <w:rsid w:val="00530026"/>
    <w:rsid w:val="00530D3C"/>
    <w:rsid w:val="0053114D"/>
    <w:rsid w:val="0053132B"/>
    <w:rsid w:val="0053143C"/>
    <w:rsid w:val="00531A49"/>
    <w:rsid w:val="00531C0F"/>
    <w:rsid w:val="00531D7A"/>
    <w:rsid w:val="00531E95"/>
    <w:rsid w:val="00532368"/>
    <w:rsid w:val="00532B50"/>
    <w:rsid w:val="00533038"/>
    <w:rsid w:val="0053330F"/>
    <w:rsid w:val="00533696"/>
    <w:rsid w:val="0053384A"/>
    <w:rsid w:val="00533919"/>
    <w:rsid w:val="00533C74"/>
    <w:rsid w:val="0053469C"/>
    <w:rsid w:val="005346C5"/>
    <w:rsid w:val="00534825"/>
    <w:rsid w:val="00534858"/>
    <w:rsid w:val="00534B45"/>
    <w:rsid w:val="00534B93"/>
    <w:rsid w:val="00534BDF"/>
    <w:rsid w:val="00535680"/>
    <w:rsid w:val="00536108"/>
    <w:rsid w:val="00536D36"/>
    <w:rsid w:val="00536FD6"/>
    <w:rsid w:val="0053763C"/>
    <w:rsid w:val="005376E8"/>
    <w:rsid w:val="00537C62"/>
    <w:rsid w:val="00540AF0"/>
    <w:rsid w:val="00540FEB"/>
    <w:rsid w:val="00541085"/>
    <w:rsid w:val="0054130D"/>
    <w:rsid w:val="00541806"/>
    <w:rsid w:val="00541F3B"/>
    <w:rsid w:val="00542043"/>
    <w:rsid w:val="0054211D"/>
    <w:rsid w:val="00542611"/>
    <w:rsid w:val="005428A5"/>
    <w:rsid w:val="00542D87"/>
    <w:rsid w:val="00542FB3"/>
    <w:rsid w:val="005431E8"/>
    <w:rsid w:val="005432E3"/>
    <w:rsid w:val="0054381D"/>
    <w:rsid w:val="00543A7D"/>
    <w:rsid w:val="00544026"/>
    <w:rsid w:val="005448B2"/>
    <w:rsid w:val="005449F7"/>
    <w:rsid w:val="00545617"/>
    <w:rsid w:val="0054585C"/>
    <w:rsid w:val="00545E36"/>
    <w:rsid w:val="005468BA"/>
    <w:rsid w:val="005468C5"/>
    <w:rsid w:val="00546E67"/>
    <w:rsid w:val="005471D5"/>
    <w:rsid w:val="0054749B"/>
    <w:rsid w:val="00547725"/>
    <w:rsid w:val="00547812"/>
    <w:rsid w:val="0054795A"/>
    <w:rsid w:val="00547CE4"/>
    <w:rsid w:val="00550249"/>
    <w:rsid w:val="005503AB"/>
    <w:rsid w:val="00550725"/>
    <w:rsid w:val="00550AAA"/>
    <w:rsid w:val="0055147E"/>
    <w:rsid w:val="005514F2"/>
    <w:rsid w:val="0055178B"/>
    <w:rsid w:val="005525A5"/>
    <w:rsid w:val="00552E10"/>
    <w:rsid w:val="005534F8"/>
    <w:rsid w:val="0055357B"/>
    <w:rsid w:val="00553598"/>
    <w:rsid w:val="00553CC3"/>
    <w:rsid w:val="005544E1"/>
    <w:rsid w:val="00554BF3"/>
    <w:rsid w:val="00554DE1"/>
    <w:rsid w:val="005557AB"/>
    <w:rsid w:val="00556486"/>
    <w:rsid w:val="005568D3"/>
    <w:rsid w:val="005576CA"/>
    <w:rsid w:val="005577A4"/>
    <w:rsid w:val="00560859"/>
    <w:rsid w:val="00560BC7"/>
    <w:rsid w:val="00561028"/>
    <w:rsid w:val="005614CE"/>
    <w:rsid w:val="005616D0"/>
    <w:rsid w:val="005621D0"/>
    <w:rsid w:val="00562F24"/>
    <w:rsid w:val="005633BA"/>
    <w:rsid w:val="00563E4C"/>
    <w:rsid w:val="00564218"/>
    <w:rsid w:val="005642A3"/>
    <w:rsid w:val="00564381"/>
    <w:rsid w:val="0056487A"/>
    <w:rsid w:val="00565417"/>
    <w:rsid w:val="00565901"/>
    <w:rsid w:val="005665B2"/>
    <w:rsid w:val="005670CC"/>
    <w:rsid w:val="00567239"/>
    <w:rsid w:val="00567385"/>
    <w:rsid w:val="00567672"/>
    <w:rsid w:val="00567D69"/>
    <w:rsid w:val="00570961"/>
    <w:rsid w:val="00570C43"/>
    <w:rsid w:val="005711E7"/>
    <w:rsid w:val="005725A7"/>
    <w:rsid w:val="005727BA"/>
    <w:rsid w:val="00572D2D"/>
    <w:rsid w:val="00572F49"/>
    <w:rsid w:val="005738F8"/>
    <w:rsid w:val="00573AA8"/>
    <w:rsid w:val="005746F5"/>
    <w:rsid w:val="00575880"/>
    <w:rsid w:val="00575D95"/>
    <w:rsid w:val="00576B9D"/>
    <w:rsid w:val="00576E5D"/>
    <w:rsid w:val="00577067"/>
    <w:rsid w:val="00577488"/>
    <w:rsid w:val="00577E0C"/>
    <w:rsid w:val="0058012F"/>
    <w:rsid w:val="005803FC"/>
    <w:rsid w:val="005806B3"/>
    <w:rsid w:val="00580FA0"/>
    <w:rsid w:val="005815F7"/>
    <w:rsid w:val="00581622"/>
    <w:rsid w:val="00581649"/>
    <w:rsid w:val="00581686"/>
    <w:rsid w:val="00581974"/>
    <w:rsid w:val="00581BAF"/>
    <w:rsid w:val="00581E09"/>
    <w:rsid w:val="00582196"/>
    <w:rsid w:val="00582516"/>
    <w:rsid w:val="005827BE"/>
    <w:rsid w:val="00582DBB"/>
    <w:rsid w:val="00582F38"/>
    <w:rsid w:val="00583320"/>
    <w:rsid w:val="00583501"/>
    <w:rsid w:val="0058393A"/>
    <w:rsid w:val="00583F1F"/>
    <w:rsid w:val="00584109"/>
    <w:rsid w:val="005844D4"/>
    <w:rsid w:val="00584518"/>
    <w:rsid w:val="00584B17"/>
    <w:rsid w:val="005850C9"/>
    <w:rsid w:val="005851C1"/>
    <w:rsid w:val="005858A1"/>
    <w:rsid w:val="00585F83"/>
    <w:rsid w:val="005864A9"/>
    <w:rsid w:val="00586741"/>
    <w:rsid w:val="00586C1A"/>
    <w:rsid w:val="00587C8D"/>
    <w:rsid w:val="00587CE1"/>
    <w:rsid w:val="00587D56"/>
    <w:rsid w:val="0059009F"/>
    <w:rsid w:val="005902F2"/>
    <w:rsid w:val="0059050B"/>
    <w:rsid w:val="0059064A"/>
    <w:rsid w:val="00590843"/>
    <w:rsid w:val="00590D84"/>
    <w:rsid w:val="00591076"/>
    <w:rsid w:val="00592052"/>
    <w:rsid w:val="00592706"/>
    <w:rsid w:val="00592A22"/>
    <w:rsid w:val="00592E7A"/>
    <w:rsid w:val="00593103"/>
    <w:rsid w:val="0059316F"/>
    <w:rsid w:val="00593916"/>
    <w:rsid w:val="00593CCA"/>
    <w:rsid w:val="00593CEC"/>
    <w:rsid w:val="00593D1F"/>
    <w:rsid w:val="0059434D"/>
    <w:rsid w:val="005949D0"/>
    <w:rsid w:val="00594CBD"/>
    <w:rsid w:val="00594FCB"/>
    <w:rsid w:val="00595CC7"/>
    <w:rsid w:val="00596F7E"/>
    <w:rsid w:val="00597191"/>
    <w:rsid w:val="00597909"/>
    <w:rsid w:val="005A09F8"/>
    <w:rsid w:val="005A10C7"/>
    <w:rsid w:val="005A124F"/>
    <w:rsid w:val="005A131C"/>
    <w:rsid w:val="005A436B"/>
    <w:rsid w:val="005A4D03"/>
    <w:rsid w:val="005A4E4F"/>
    <w:rsid w:val="005A6239"/>
    <w:rsid w:val="005A6EF5"/>
    <w:rsid w:val="005A72D6"/>
    <w:rsid w:val="005A7362"/>
    <w:rsid w:val="005A73D8"/>
    <w:rsid w:val="005A7835"/>
    <w:rsid w:val="005A7C60"/>
    <w:rsid w:val="005B0175"/>
    <w:rsid w:val="005B05E9"/>
    <w:rsid w:val="005B0610"/>
    <w:rsid w:val="005B0985"/>
    <w:rsid w:val="005B1A69"/>
    <w:rsid w:val="005B1AA2"/>
    <w:rsid w:val="005B21AE"/>
    <w:rsid w:val="005B32BC"/>
    <w:rsid w:val="005B3BFC"/>
    <w:rsid w:val="005B3FA2"/>
    <w:rsid w:val="005B44C8"/>
    <w:rsid w:val="005B4549"/>
    <w:rsid w:val="005B4720"/>
    <w:rsid w:val="005B49C5"/>
    <w:rsid w:val="005B5D22"/>
    <w:rsid w:val="005B759A"/>
    <w:rsid w:val="005C0058"/>
    <w:rsid w:val="005C06F4"/>
    <w:rsid w:val="005C0D31"/>
    <w:rsid w:val="005C0EDC"/>
    <w:rsid w:val="005C1062"/>
    <w:rsid w:val="005C113C"/>
    <w:rsid w:val="005C1660"/>
    <w:rsid w:val="005C229F"/>
    <w:rsid w:val="005C2353"/>
    <w:rsid w:val="005C319D"/>
    <w:rsid w:val="005C3617"/>
    <w:rsid w:val="005C3DB6"/>
    <w:rsid w:val="005C3FA5"/>
    <w:rsid w:val="005C4C5B"/>
    <w:rsid w:val="005C4DD2"/>
    <w:rsid w:val="005C50EC"/>
    <w:rsid w:val="005C62DF"/>
    <w:rsid w:val="005C636F"/>
    <w:rsid w:val="005C6484"/>
    <w:rsid w:val="005C6960"/>
    <w:rsid w:val="005C6A13"/>
    <w:rsid w:val="005C6B50"/>
    <w:rsid w:val="005C6FAA"/>
    <w:rsid w:val="005C718A"/>
    <w:rsid w:val="005C74B0"/>
    <w:rsid w:val="005C7E05"/>
    <w:rsid w:val="005C7E96"/>
    <w:rsid w:val="005D02BC"/>
    <w:rsid w:val="005D041C"/>
    <w:rsid w:val="005D087E"/>
    <w:rsid w:val="005D09D4"/>
    <w:rsid w:val="005D0B7E"/>
    <w:rsid w:val="005D0FFC"/>
    <w:rsid w:val="005D1020"/>
    <w:rsid w:val="005D1C5C"/>
    <w:rsid w:val="005D2818"/>
    <w:rsid w:val="005D2ABC"/>
    <w:rsid w:val="005D2B3B"/>
    <w:rsid w:val="005D308A"/>
    <w:rsid w:val="005D3188"/>
    <w:rsid w:val="005D34CC"/>
    <w:rsid w:val="005D34EF"/>
    <w:rsid w:val="005D35CD"/>
    <w:rsid w:val="005D36C7"/>
    <w:rsid w:val="005D3C80"/>
    <w:rsid w:val="005D3FCB"/>
    <w:rsid w:val="005D4C3B"/>
    <w:rsid w:val="005D5CBA"/>
    <w:rsid w:val="005D5F9A"/>
    <w:rsid w:val="005D62B9"/>
    <w:rsid w:val="005D6674"/>
    <w:rsid w:val="005D765F"/>
    <w:rsid w:val="005D7FC6"/>
    <w:rsid w:val="005E03B8"/>
    <w:rsid w:val="005E0A36"/>
    <w:rsid w:val="005E0C80"/>
    <w:rsid w:val="005E0EE3"/>
    <w:rsid w:val="005E1396"/>
    <w:rsid w:val="005E2106"/>
    <w:rsid w:val="005E3EC0"/>
    <w:rsid w:val="005E4514"/>
    <w:rsid w:val="005E4611"/>
    <w:rsid w:val="005E5433"/>
    <w:rsid w:val="005E5597"/>
    <w:rsid w:val="005E561E"/>
    <w:rsid w:val="005E5685"/>
    <w:rsid w:val="005E64B1"/>
    <w:rsid w:val="005E69CE"/>
    <w:rsid w:val="005E7DCF"/>
    <w:rsid w:val="005F0971"/>
    <w:rsid w:val="005F0BF0"/>
    <w:rsid w:val="005F0CD0"/>
    <w:rsid w:val="005F1552"/>
    <w:rsid w:val="005F1CFC"/>
    <w:rsid w:val="005F1EF7"/>
    <w:rsid w:val="005F238D"/>
    <w:rsid w:val="005F241B"/>
    <w:rsid w:val="005F2553"/>
    <w:rsid w:val="005F2A15"/>
    <w:rsid w:val="005F3184"/>
    <w:rsid w:val="005F3979"/>
    <w:rsid w:val="005F3FC6"/>
    <w:rsid w:val="005F422A"/>
    <w:rsid w:val="005F4272"/>
    <w:rsid w:val="005F478D"/>
    <w:rsid w:val="005F4EB7"/>
    <w:rsid w:val="005F50E5"/>
    <w:rsid w:val="005F5A91"/>
    <w:rsid w:val="005F5D55"/>
    <w:rsid w:val="005F6412"/>
    <w:rsid w:val="005F6634"/>
    <w:rsid w:val="005F6A87"/>
    <w:rsid w:val="005F787D"/>
    <w:rsid w:val="005F79ED"/>
    <w:rsid w:val="00601765"/>
    <w:rsid w:val="00601AB9"/>
    <w:rsid w:val="00602200"/>
    <w:rsid w:val="00602675"/>
    <w:rsid w:val="0060297C"/>
    <w:rsid w:val="00602AF9"/>
    <w:rsid w:val="00603078"/>
    <w:rsid w:val="00603CE5"/>
    <w:rsid w:val="006042DC"/>
    <w:rsid w:val="00604785"/>
    <w:rsid w:val="006053B5"/>
    <w:rsid w:val="00605951"/>
    <w:rsid w:val="00605CA8"/>
    <w:rsid w:val="00605F38"/>
    <w:rsid w:val="0060668E"/>
    <w:rsid w:val="00606FB1"/>
    <w:rsid w:val="0060702C"/>
    <w:rsid w:val="00607048"/>
    <w:rsid w:val="00607391"/>
    <w:rsid w:val="006073D2"/>
    <w:rsid w:val="0060791F"/>
    <w:rsid w:val="00610372"/>
    <w:rsid w:val="00610384"/>
    <w:rsid w:val="00611381"/>
    <w:rsid w:val="00612187"/>
    <w:rsid w:val="0061327B"/>
    <w:rsid w:val="00613756"/>
    <w:rsid w:val="00613A41"/>
    <w:rsid w:val="00613DD6"/>
    <w:rsid w:val="00613EFC"/>
    <w:rsid w:val="00614EFF"/>
    <w:rsid w:val="00614FA3"/>
    <w:rsid w:val="006151B2"/>
    <w:rsid w:val="006152B1"/>
    <w:rsid w:val="00615534"/>
    <w:rsid w:val="00617449"/>
    <w:rsid w:val="00617BA3"/>
    <w:rsid w:val="00617E46"/>
    <w:rsid w:val="006202E9"/>
    <w:rsid w:val="0062031B"/>
    <w:rsid w:val="00620867"/>
    <w:rsid w:val="006214D5"/>
    <w:rsid w:val="006220DD"/>
    <w:rsid w:val="0062219C"/>
    <w:rsid w:val="00622C56"/>
    <w:rsid w:val="006232FB"/>
    <w:rsid w:val="00623501"/>
    <w:rsid w:val="00623CD2"/>
    <w:rsid w:val="0062403F"/>
    <w:rsid w:val="00624103"/>
    <w:rsid w:val="00624F3D"/>
    <w:rsid w:val="00625032"/>
    <w:rsid w:val="00625237"/>
    <w:rsid w:val="00625472"/>
    <w:rsid w:val="006256D5"/>
    <w:rsid w:val="006259FD"/>
    <w:rsid w:val="00625BC6"/>
    <w:rsid w:val="006264EF"/>
    <w:rsid w:val="00626546"/>
    <w:rsid w:val="006265C0"/>
    <w:rsid w:val="006270C3"/>
    <w:rsid w:val="00627D1F"/>
    <w:rsid w:val="006302D2"/>
    <w:rsid w:val="006307F3"/>
    <w:rsid w:val="00630998"/>
    <w:rsid w:val="006315DC"/>
    <w:rsid w:val="00631FA7"/>
    <w:rsid w:val="00632DA7"/>
    <w:rsid w:val="0063345A"/>
    <w:rsid w:val="006337E5"/>
    <w:rsid w:val="0063391B"/>
    <w:rsid w:val="006344C7"/>
    <w:rsid w:val="0063480C"/>
    <w:rsid w:val="00634EBE"/>
    <w:rsid w:val="00634EE0"/>
    <w:rsid w:val="006350F7"/>
    <w:rsid w:val="006351F9"/>
    <w:rsid w:val="00635278"/>
    <w:rsid w:val="006358C6"/>
    <w:rsid w:val="00637BA3"/>
    <w:rsid w:val="0064023A"/>
    <w:rsid w:val="00640688"/>
    <w:rsid w:val="00640702"/>
    <w:rsid w:val="00640BED"/>
    <w:rsid w:val="00640C2A"/>
    <w:rsid w:val="00641015"/>
    <w:rsid w:val="00641980"/>
    <w:rsid w:val="006419D2"/>
    <w:rsid w:val="006422F2"/>
    <w:rsid w:val="00642422"/>
    <w:rsid w:val="006427E5"/>
    <w:rsid w:val="00642D8F"/>
    <w:rsid w:val="0064317A"/>
    <w:rsid w:val="006436D8"/>
    <w:rsid w:val="00643BB3"/>
    <w:rsid w:val="00644010"/>
    <w:rsid w:val="00644C86"/>
    <w:rsid w:val="00645801"/>
    <w:rsid w:val="0064635A"/>
    <w:rsid w:val="00646E9C"/>
    <w:rsid w:val="00646F8C"/>
    <w:rsid w:val="006503E3"/>
    <w:rsid w:val="006506C2"/>
    <w:rsid w:val="00650ECA"/>
    <w:rsid w:val="0065133A"/>
    <w:rsid w:val="006517AD"/>
    <w:rsid w:val="006517D7"/>
    <w:rsid w:val="006526CA"/>
    <w:rsid w:val="00652B5D"/>
    <w:rsid w:val="00652FF8"/>
    <w:rsid w:val="0065356B"/>
    <w:rsid w:val="006535A5"/>
    <w:rsid w:val="0065382E"/>
    <w:rsid w:val="006541AD"/>
    <w:rsid w:val="00654309"/>
    <w:rsid w:val="006544A2"/>
    <w:rsid w:val="00654561"/>
    <w:rsid w:val="00654A59"/>
    <w:rsid w:val="00654BCF"/>
    <w:rsid w:val="00655165"/>
    <w:rsid w:val="00655494"/>
    <w:rsid w:val="006563EE"/>
    <w:rsid w:val="006571B7"/>
    <w:rsid w:val="006576D7"/>
    <w:rsid w:val="00657C86"/>
    <w:rsid w:val="00657CE9"/>
    <w:rsid w:val="00657D2A"/>
    <w:rsid w:val="00657DF9"/>
    <w:rsid w:val="00661066"/>
    <w:rsid w:val="006619B9"/>
    <w:rsid w:val="00661DCC"/>
    <w:rsid w:val="00662059"/>
    <w:rsid w:val="00662197"/>
    <w:rsid w:val="006621CE"/>
    <w:rsid w:val="00662640"/>
    <w:rsid w:val="00662E5D"/>
    <w:rsid w:val="00663074"/>
    <w:rsid w:val="006634F4"/>
    <w:rsid w:val="00663911"/>
    <w:rsid w:val="006639E9"/>
    <w:rsid w:val="00663BBB"/>
    <w:rsid w:val="00663C0B"/>
    <w:rsid w:val="00664031"/>
    <w:rsid w:val="00664286"/>
    <w:rsid w:val="006643A7"/>
    <w:rsid w:val="006645ED"/>
    <w:rsid w:val="00664AC6"/>
    <w:rsid w:val="00664EF2"/>
    <w:rsid w:val="0066558D"/>
    <w:rsid w:val="00665D31"/>
    <w:rsid w:val="00665E95"/>
    <w:rsid w:val="0066764E"/>
    <w:rsid w:val="006705CA"/>
    <w:rsid w:val="006706A0"/>
    <w:rsid w:val="006717AC"/>
    <w:rsid w:val="00671A85"/>
    <w:rsid w:val="0067242C"/>
    <w:rsid w:val="006727FF"/>
    <w:rsid w:val="00672AD9"/>
    <w:rsid w:val="00672B31"/>
    <w:rsid w:val="00673197"/>
    <w:rsid w:val="006739F4"/>
    <w:rsid w:val="00674213"/>
    <w:rsid w:val="0067440C"/>
    <w:rsid w:val="006749CC"/>
    <w:rsid w:val="00675108"/>
    <w:rsid w:val="00675AFA"/>
    <w:rsid w:val="00675D02"/>
    <w:rsid w:val="00675D74"/>
    <w:rsid w:val="0067669E"/>
    <w:rsid w:val="006772F0"/>
    <w:rsid w:val="0067751B"/>
    <w:rsid w:val="00680104"/>
    <w:rsid w:val="006804B4"/>
    <w:rsid w:val="00680721"/>
    <w:rsid w:val="00680A0A"/>
    <w:rsid w:val="00680DE3"/>
    <w:rsid w:val="00681128"/>
    <w:rsid w:val="006816F8"/>
    <w:rsid w:val="00681923"/>
    <w:rsid w:val="0068264B"/>
    <w:rsid w:val="00682C87"/>
    <w:rsid w:val="00682CA9"/>
    <w:rsid w:val="00683349"/>
    <w:rsid w:val="0068377A"/>
    <w:rsid w:val="006837E2"/>
    <w:rsid w:val="00684075"/>
    <w:rsid w:val="0068460C"/>
    <w:rsid w:val="00684827"/>
    <w:rsid w:val="00684F37"/>
    <w:rsid w:val="00685E15"/>
    <w:rsid w:val="006862AD"/>
    <w:rsid w:val="00686EB5"/>
    <w:rsid w:val="00687263"/>
    <w:rsid w:val="00687900"/>
    <w:rsid w:val="00690011"/>
    <w:rsid w:val="00690112"/>
    <w:rsid w:val="0069034F"/>
    <w:rsid w:val="00690830"/>
    <w:rsid w:val="00690AA0"/>
    <w:rsid w:val="00690D2D"/>
    <w:rsid w:val="006919B7"/>
    <w:rsid w:val="0069254B"/>
    <w:rsid w:val="00692CAA"/>
    <w:rsid w:val="00693282"/>
    <w:rsid w:val="006936D1"/>
    <w:rsid w:val="0069392C"/>
    <w:rsid w:val="00694069"/>
    <w:rsid w:val="00694C3A"/>
    <w:rsid w:val="00695120"/>
    <w:rsid w:val="00696151"/>
    <w:rsid w:val="00697032"/>
    <w:rsid w:val="00697418"/>
    <w:rsid w:val="006975BA"/>
    <w:rsid w:val="00697931"/>
    <w:rsid w:val="006A0148"/>
    <w:rsid w:val="006A045E"/>
    <w:rsid w:val="006A060E"/>
    <w:rsid w:val="006A1998"/>
    <w:rsid w:val="006A19D4"/>
    <w:rsid w:val="006A221D"/>
    <w:rsid w:val="006A23EB"/>
    <w:rsid w:val="006A2484"/>
    <w:rsid w:val="006A2993"/>
    <w:rsid w:val="006A2D61"/>
    <w:rsid w:val="006A3941"/>
    <w:rsid w:val="006A3CF0"/>
    <w:rsid w:val="006A4A87"/>
    <w:rsid w:val="006A4ACC"/>
    <w:rsid w:val="006A4E0E"/>
    <w:rsid w:val="006A5502"/>
    <w:rsid w:val="006A5822"/>
    <w:rsid w:val="006A5C3C"/>
    <w:rsid w:val="006A5DFE"/>
    <w:rsid w:val="006A642C"/>
    <w:rsid w:val="006A64AF"/>
    <w:rsid w:val="006A6533"/>
    <w:rsid w:val="006A6E9A"/>
    <w:rsid w:val="006A798C"/>
    <w:rsid w:val="006A7E9A"/>
    <w:rsid w:val="006B009D"/>
    <w:rsid w:val="006B0CC7"/>
    <w:rsid w:val="006B0E09"/>
    <w:rsid w:val="006B14F4"/>
    <w:rsid w:val="006B193B"/>
    <w:rsid w:val="006B1B98"/>
    <w:rsid w:val="006B1FD5"/>
    <w:rsid w:val="006B2081"/>
    <w:rsid w:val="006B352E"/>
    <w:rsid w:val="006B355D"/>
    <w:rsid w:val="006B3EEE"/>
    <w:rsid w:val="006B3F99"/>
    <w:rsid w:val="006B4FBD"/>
    <w:rsid w:val="006B5274"/>
    <w:rsid w:val="006B5299"/>
    <w:rsid w:val="006B5455"/>
    <w:rsid w:val="006B54CD"/>
    <w:rsid w:val="006B5B4A"/>
    <w:rsid w:val="006B6779"/>
    <w:rsid w:val="006B67CF"/>
    <w:rsid w:val="006B6966"/>
    <w:rsid w:val="006B6CAA"/>
    <w:rsid w:val="006B6ED8"/>
    <w:rsid w:val="006B7298"/>
    <w:rsid w:val="006B730C"/>
    <w:rsid w:val="006B7368"/>
    <w:rsid w:val="006B7B9C"/>
    <w:rsid w:val="006B7F00"/>
    <w:rsid w:val="006C01C0"/>
    <w:rsid w:val="006C0534"/>
    <w:rsid w:val="006C1137"/>
    <w:rsid w:val="006C116C"/>
    <w:rsid w:val="006C13A7"/>
    <w:rsid w:val="006C1B9C"/>
    <w:rsid w:val="006C2588"/>
    <w:rsid w:val="006C2EE9"/>
    <w:rsid w:val="006C380A"/>
    <w:rsid w:val="006C3A71"/>
    <w:rsid w:val="006C3E32"/>
    <w:rsid w:val="006C4358"/>
    <w:rsid w:val="006C44D7"/>
    <w:rsid w:val="006C47D4"/>
    <w:rsid w:val="006C4B1F"/>
    <w:rsid w:val="006C5A2F"/>
    <w:rsid w:val="006C63E3"/>
    <w:rsid w:val="006C6797"/>
    <w:rsid w:val="006C6937"/>
    <w:rsid w:val="006C7090"/>
    <w:rsid w:val="006C7A15"/>
    <w:rsid w:val="006D11CE"/>
    <w:rsid w:val="006D1E6D"/>
    <w:rsid w:val="006D4A77"/>
    <w:rsid w:val="006D4F9A"/>
    <w:rsid w:val="006D4FC9"/>
    <w:rsid w:val="006D5484"/>
    <w:rsid w:val="006D623D"/>
    <w:rsid w:val="006D6681"/>
    <w:rsid w:val="006D7217"/>
    <w:rsid w:val="006D72AB"/>
    <w:rsid w:val="006D7C18"/>
    <w:rsid w:val="006D7EC8"/>
    <w:rsid w:val="006E050A"/>
    <w:rsid w:val="006E07BC"/>
    <w:rsid w:val="006E0830"/>
    <w:rsid w:val="006E0B49"/>
    <w:rsid w:val="006E0FF4"/>
    <w:rsid w:val="006E14E7"/>
    <w:rsid w:val="006E15B3"/>
    <w:rsid w:val="006E1B1B"/>
    <w:rsid w:val="006E2099"/>
    <w:rsid w:val="006E28BE"/>
    <w:rsid w:val="006E2FF1"/>
    <w:rsid w:val="006E3096"/>
    <w:rsid w:val="006E30BE"/>
    <w:rsid w:val="006E4258"/>
    <w:rsid w:val="006E552B"/>
    <w:rsid w:val="006E5629"/>
    <w:rsid w:val="006E589E"/>
    <w:rsid w:val="006E58FB"/>
    <w:rsid w:val="006E6038"/>
    <w:rsid w:val="006E66E9"/>
    <w:rsid w:val="006E6703"/>
    <w:rsid w:val="006E67F0"/>
    <w:rsid w:val="006E7148"/>
    <w:rsid w:val="006E7BCF"/>
    <w:rsid w:val="006E7C86"/>
    <w:rsid w:val="006F07F3"/>
    <w:rsid w:val="006F0A23"/>
    <w:rsid w:val="006F16D3"/>
    <w:rsid w:val="006F188F"/>
    <w:rsid w:val="006F1A0D"/>
    <w:rsid w:val="006F1B6C"/>
    <w:rsid w:val="006F1ED1"/>
    <w:rsid w:val="006F24AA"/>
    <w:rsid w:val="006F2780"/>
    <w:rsid w:val="006F2CE2"/>
    <w:rsid w:val="006F3008"/>
    <w:rsid w:val="006F3067"/>
    <w:rsid w:val="006F391B"/>
    <w:rsid w:val="006F394C"/>
    <w:rsid w:val="006F418A"/>
    <w:rsid w:val="006F42F6"/>
    <w:rsid w:val="006F45B5"/>
    <w:rsid w:val="006F4789"/>
    <w:rsid w:val="006F52C7"/>
    <w:rsid w:val="006F540C"/>
    <w:rsid w:val="006F6100"/>
    <w:rsid w:val="006F628D"/>
    <w:rsid w:val="006F6527"/>
    <w:rsid w:val="006F6B97"/>
    <w:rsid w:val="006F6BC3"/>
    <w:rsid w:val="006F77CC"/>
    <w:rsid w:val="006F7864"/>
    <w:rsid w:val="006F790F"/>
    <w:rsid w:val="006F7970"/>
    <w:rsid w:val="006F7D01"/>
    <w:rsid w:val="00700026"/>
    <w:rsid w:val="00700068"/>
    <w:rsid w:val="00701982"/>
    <w:rsid w:val="0070261E"/>
    <w:rsid w:val="00702E07"/>
    <w:rsid w:val="00702ED6"/>
    <w:rsid w:val="00703102"/>
    <w:rsid w:val="00703371"/>
    <w:rsid w:val="00703C63"/>
    <w:rsid w:val="00703F07"/>
    <w:rsid w:val="00704FAC"/>
    <w:rsid w:val="0070566E"/>
    <w:rsid w:val="0070613B"/>
    <w:rsid w:val="007062A3"/>
    <w:rsid w:val="00706305"/>
    <w:rsid w:val="0070635A"/>
    <w:rsid w:val="0070638F"/>
    <w:rsid w:val="00707485"/>
    <w:rsid w:val="007076FB"/>
    <w:rsid w:val="0071070D"/>
    <w:rsid w:val="00711204"/>
    <w:rsid w:val="00711735"/>
    <w:rsid w:val="0071191C"/>
    <w:rsid w:val="00711C11"/>
    <w:rsid w:val="0071368F"/>
    <w:rsid w:val="007138B4"/>
    <w:rsid w:val="007148E8"/>
    <w:rsid w:val="00714B9F"/>
    <w:rsid w:val="00714C59"/>
    <w:rsid w:val="007150F1"/>
    <w:rsid w:val="00715153"/>
    <w:rsid w:val="00715655"/>
    <w:rsid w:val="00716031"/>
    <w:rsid w:val="0071635E"/>
    <w:rsid w:val="007168E8"/>
    <w:rsid w:val="007169B1"/>
    <w:rsid w:val="00716FC9"/>
    <w:rsid w:val="00717E0F"/>
    <w:rsid w:val="007201DF"/>
    <w:rsid w:val="00720482"/>
    <w:rsid w:val="007205FE"/>
    <w:rsid w:val="00720849"/>
    <w:rsid w:val="0072087E"/>
    <w:rsid w:val="00720CDA"/>
    <w:rsid w:val="00721A1F"/>
    <w:rsid w:val="00721F6E"/>
    <w:rsid w:val="007223CC"/>
    <w:rsid w:val="007226A0"/>
    <w:rsid w:val="0072270B"/>
    <w:rsid w:val="00723DE0"/>
    <w:rsid w:val="00723EF5"/>
    <w:rsid w:val="0072405D"/>
    <w:rsid w:val="00724085"/>
    <w:rsid w:val="007241F0"/>
    <w:rsid w:val="0072467B"/>
    <w:rsid w:val="007247E7"/>
    <w:rsid w:val="00724CB4"/>
    <w:rsid w:val="00725184"/>
    <w:rsid w:val="00725465"/>
    <w:rsid w:val="007260C1"/>
    <w:rsid w:val="007261FF"/>
    <w:rsid w:val="007264F0"/>
    <w:rsid w:val="007265A6"/>
    <w:rsid w:val="00726E9F"/>
    <w:rsid w:val="00726FBE"/>
    <w:rsid w:val="00727894"/>
    <w:rsid w:val="00730064"/>
    <w:rsid w:val="00730269"/>
    <w:rsid w:val="0073040C"/>
    <w:rsid w:val="0073046C"/>
    <w:rsid w:val="007316CE"/>
    <w:rsid w:val="0073180E"/>
    <w:rsid w:val="00731937"/>
    <w:rsid w:val="0073266D"/>
    <w:rsid w:val="00732AF1"/>
    <w:rsid w:val="00732BB7"/>
    <w:rsid w:val="00732F36"/>
    <w:rsid w:val="00733299"/>
    <w:rsid w:val="00733391"/>
    <w:rsid w:val="007353DD"/>
    <w:rsid w:val="00735ABC"/>
    <w:rsid w:val="00735D7E"/>
    <w:rsid w:val="0073645A"/>
    <w:rsid w:val="007365A1"/>
    <w:rsid w:val="00736756"/>
    <w:rsid w:val="0073715B"/>
    <w:rsid w:val="0073732A"/>
    <w:rsid w:val="007377A8"/>
    <w:rsid w:val="00737940"/>
    <w:rsid w:val="00737C39"/>
    <w:rsid w:val="00737F4A"/>
    <w:rsid w:val="00740144"/>
    <w:rsid w:val="00740774"/>
    <w:rsid w:val="00740B67"/>
    <w:rsid w:val="00741163"/>
    <w:rsid w:val="007416D2"/>
    <w:rsid w:val="0074192C"/>
    <w:rsid w:val="00741BD7"/>
    <w:rsid w:val="00742786"/>
    <w:rsid w:val="0074391A"/>
    <w:rsid w:val="00743961"/>
    <w:rsid w:val="00744089"/>
    <w:rsid w:val="00744226"/>
    <w:rsid w:val="0074453C"/>
    <w:rsid w:val="007452EF"/>
    <w:rsid w:val="00745F8D"/>
    <w:rsid w:val="007470F8"/>
    <w:rsid w:val="007471DB"/>
    <w:rsid w:val="00747719"/>
    <w:rsid w:val="00747F1C"/>
    <w:rsid w:val="007502F8"/>
    <w:rsid w:val="00750AF9"/>
    <w:rsid w:val="00751CE9"/>
    <w:rsid w:val="00751F94"/>
    <w:rsid w:val="007526DA"/>
    <w:rsid w:val="00752DA5"/>
    <w:rsid w:val="00752DF1"/>
    <w:rsid w:val="00752FC7"/>
    <w:rsid w:val="0075331D"/>
    <w:rsid w:val="00754400"/>
    <w:rsid w:val="00754F7F"/>
    <w:rsid w:val="00755279"/>
    <w:rsid w:val="00755B72"/>
    <w:rsid w:val="00756128"/>
    <w:rsid w:val="007563F2"/>
    <w:rsid w:val="00756F56"/>
    <w:rsid w:val="00757177"/>
    <w:rsid w:val="007571DE"/>
    <w:rsid w:val="00757E78"/>
    <w:rsid w:val="007609C9"/>
    <w:rsid w:val="00761E45"/>
    <w:rsid w:val="00762641"/>
    <w:rsid w:val="00762B40"/>
    <w:rsid w:val="00762C2C"/>
    <w:rsid w:val="007635D1"/>
    <w:rsid w:val="0076388B"/>
    <w:rsid w:val="00764ECC"/>
    <w:rsid w:val="0076507D"/>
    <w:rsid w:val="00765A9E"/>
    <w:rsid w:val="00766448"/>
    <w:rsid w:val="0077000C"/>
    <w:rsid w:val="007704D6"/>
    <w:rsid w:val="00771932"/>
    <w:rsid w:val="00771C21"/>
    <w:rsid w:val="0077268B"/>
    <w:rsid w:val="00772873"/>
    <w:rsid w:val="0077293A"/>
    <w:rsid w:val="00772A41"/>
    <w:rsid w:val="00772C05"/>
    <w:rsid w:val="00772DAA"/>
    <w:rsid w:val="0077329D"/>
    <w:rsid w:val="00773D0D"/>
    <w:rsid w:val="00773D9B"/>
    <w:rsid w:val="00773FD0"/>
    <w:rsid w:val="0077434A"/>
    <w:rsid w:val="007743C8"/>
    <w:rsid w:val="00774617"/>
    <w:rsid w:val="00774B75"/>
    <w:rsid w:val="00774E7F"/>
    <w:rsid w:val="00774F89"/>
    <w:rsid w:val="00775013"/>
    <w:rsid w:val="00775534"/>
    <w:rsid w:val="00775664"/>
    <w:rsid w:val="007756E0"/>
    <w:rsid w:val="00775C75"/>
    <w:rsid w:val="00776043"/>
    <w:rsid w:val="00776380"/>
    <w:rsid w:val="00776A9E"/>
    <w:rsid w:val="00776D3E"/>
    <w:rsid w:val="00776F08"/>
    <w:rsid w:val="00777330"/>
    <w:rsid w:val="00777345"/>
    <w:rsid w:val="00780158"/>
    <w:rsid w:val="0078019B"/>
    <w:rsid w:val="0078089B"/>
    <w:rsid w:val="00780BEE"/>
    <w:rsid w:val="0078106D"/>
    <w:rsid w:val="0078139C"/>
    <w:rsid w:val="00781A65"/>
    <w:rsid w:val="00782700"/>
    <w:rsid w:val="007829D7"/>
    <w:rsid w:val="00783011"/>
    <w:rsid w:val="007834EE"/>
    <w:rsid w:val="007842C9"/>
    <w:rsid w:val="007849D9"/>
    <w:rsid w:val="00784DC6"/>
    <w:rsid w:val="00785223"/>
    <w:rsid w:val="00785545"/>
    <w:rsid w:val="00785705"/>
    <w:rsid w:val="00785C00"/>
    <w:rsid w:val="00786A46"/>
    <w:rsid w:val="00790710"/>
    <w:rsid w:val="00791EAD"/>
    <w:rsid w:val="00792024"/>
    <w:rsid w:val="0079215A"/>
    <w:rsid w:val="00792891"/>
    <w:rsid w:val="007929C5"/>
    <w:rsid w:val="00792A61"/>
    <w:rsid w:val="00793282"/>
    <w:rsid w:val="007934F4"/>
    <w:rsid w:val="007940DB"/>
    <w:rsid w:val="007947B7"/>
    <w:rsid w:val="00794EBE"/>
    <w:rsid w:val="00795BAE"/>
    <w:rsid w:val="00795CC5"/>
    <w:rsid w:val="00796259"/>
    <w:rsid w:val="0079647A"/>
    <w:rsid w:val="00796484"/>
    <w:rsid w:val="0079682B"/>
    <w:rsid w:val="00796922"/>
    <w:rsid w:val="0079773C"/>
    <w:rsid w:val="007978B8"/>
    <w:rsid w:val="00797B95"/>
    <w:rsid w:val="00797C03"/>
    <w:rsid w:val="00797C4B"/>
    <w:rsid w:val="007A00D6"/>
    <w:rsid w:val="007A0781"/>
    <w:rsid w:val="007A08E0"/>
    <w:rsid w:val="007A0DBA"/>
    <w:rsid w:val="007A130A"/>
    <w:rsid w:val="007A15F0"/>
    <w:rsid w:val="007A1E67"/>
    <w:rsid w:val="007A2599"/>
    <w:rsid w:val="007A3274"/>
    <w:rsid w:val="007A3923"/>
    <w:rsid w:val="007A3960"/>
    <w:rsid w:val="007A3AC1"/>
    <w:rsid w:val="007A3CE6"/>
    <w:rsid w:val="007A3D9B"/>
    <w:rsid w:val="007A3F61"/>
    <w:rsid w:val="007A504F"/>
    <w:rsid w:val="007A5612"/>
    <w:rsid w:val="007A58CB"/>
    <w:rsid w:val="007A5AA0"/>
    <w:rsid w:val="007A61D5"/>
    <w:rsid w:val="007A6BFF"/>
    <w:rsid w:val="007A6F6B"/>
    <w:rsid w:val="007A7A1C"/>
    <w:rsid w:val="007A7D66"/>
    <w:rsid w:val="007B03CB"/>
    <w:rsid w:val="007B06E2"/>
    <w:rsid w:val="007B0C02"/>
    <w:rsid w:val="007B108F"/>
    <w:rsid w:val="007B197D"/>
    <w:rsid w:val="007B19EF"/>
    <w:rsid w:val="007B1B01"/>
    <w:rsid w:val="007B2CC6"/>
    <w:rsid w:val="007B36F1"/>
    <w:rsid w:val="007B379F"/>
    <w:rsid w:val="007B3DB1"/>
    <w:rsid w:val="007B4057"/>
    <w:rsid w:val="007B43C5"/>
    <w:rsid w:val="007B44D5"/>
    <w:rsid w:val="007B4886"/>
    <w:rsid w:val="007B5E0E"/>
    <w:rsid w:val="007B5ED2"/>
    <w:rsid w:val="007B61E4"/>
    <w:rsid w:val="007B627C"/>
    <w:rsid w:val="007B6283"/>
    <w:rsid w:val="007B64D7"/>
    <w:rsid w:val="007B6D38"/>
    <w:rsid w:val="007B7E8B"/>
    <w:rsid w:val="007C09A0"/>
    <w:rsid w:val="007C0CEA"/>
    <w:rsid w:val="007C0F15"/>
    <w:rsid w:val="007C0F51"/>
    <w:rsid w:val="007C12F2"/>
    <w:rsid w:val="007C1744"/>
    <w:rsid w:val="007C18AC"/>
    <w:rsid w:val="007C1B83"/>
    <w:rsid w:val="007C33CC"/>
    <w:rsid w:val="007C4135"/>
    <w:rsid w:val="007C5554"/>
    <w:rsid w:val="007C5A81"/>
    <w:rsid w:val="007C6215"/>
    <w:rsid w:val="007C6F23"/>
    <w:rsid w:val="007C7638"/>
    <w:rsid w:val="007C76B3"/>
    <w:rsid w:val="007C7AE7"/>
    <w:rsid w:val="007D0556"/>
    <w:rsid w:val="007D1756"/>
    <w:rsid w:val="007D1A09"/>
    <w:rsid w:val="007D2E89"/>
    <w:rsid w:val="007D4921"/>
    <w:rsid w:val="007D4B39"/>
    <w:rsid w:val="007D5E27"/>
    <w:rsid w:val="007D6461"/>
    <w:rsid w:val="007D690A"/>
    <w:rsid w:val="007D6C6A"/>
    <w:rsid w:val="007D7059"/>
    <w:rsid w:val="007D7E49"/>
    <w:rsid w:val="007E0069"/>
    <w:rsid w:val="007E0810"/>
    <w:rsid w:val="007E0C0B"/>
    <w:rsid w:val="007E0E5E"/>
    <w:rsid w:val="007E12FD"/>
    <w:rsid w:val="007E18A1"/>
    <w:rsid w:val="007E1F2D"/>
    <w:rsid w:val="007E20F5"/>
    <w:rsid w:val="007E2C8C"/>
    <w:rsid w:val="007E2F47"/>
    <w:rsid w:val="007E2FBA"/>
    <w:rsid w:val="007E3101"/>
    <w:rsid w:val="007E32FA"/>
    <w:rsid w:val="007E3B2B"/>
    <w:rsid w:val="007E4FBC"/>
    <w:rsid w:val="007E4FDF"/>
    <w:rsid w:val="007E5308"/>
    <w:rsid w:val="007E5320"/>
    <w:rsid w:val="007E672E"/>
    <w:rsid w:val="007E6A48"/>
    <w:rsid w:val="007E6B33"/>
    <w:rsid w:val="007E6C65"/>
    <w:rsid w:val="007E70A0"/>
    <w:rsid w:val="007E710C"/>
    <w:rsid w:val="007E7141"/>
    <w:rsid w:val="007E71AC"/>
    <w:rsid w:val="007E79DD"/>
    <w:rsid w:val="007E7E78"/>
    <w:rsid w:val="007F04A0"/>
    <w:rsid w:val="007F0BDE"/>
    <w:rsid w:val="007F1285"/>
    <w:rsid w:val="007F14C7"/>
    <w:rsid w:val="007F2AE8"/>
    <w:rsid w:val="007F2DF6"/>
    <w:rsid w:val="007F302A"/>
    <w:rsid w:val="007F3748"/>
    <w:rsid w:val="007F3C8C"/>
    <w:rsid w:val="007F408C"/>
    <w:rsid w:val="007F592D"/>
    <w:rsid w:val="007F66F0"/>
    <w:rsid w:val="007F7AF0"/>
    <w:rsid w:val="008007FB"/>
    <w:rsid w:val="00801E92"/>
    <w:rsid w:val="0080215A"/>
    <w:rsid w:val="0080222B"/>
    <w:rsid w:val="00802290"/>
    <w:rsid w:val="0080237F"/>
    <w:rsid w:val="00802990"/>
    <w:rsid w:val="00802D41"/>
    <w:rsid w:val="00803F49"/>
    <w:rsid w:val="008040D0"/>
    <w:rsid w:val="008042C0"/>
    <w:rsid w:val="00804363"/>
    <w:rsid w:val="0080595F"/>
    <w:rsid w:val="00805CBE"/>
    <w:rsid w:val="0080607D"/>
    <w:rsid w:val="008061E8"/>
    <w:rsid w:val="00806236"/>
    <w:rsid w:val="008068ED"/>
    <w:rsid w:val="00807074"/>
    <w:rsid w:val="00807461"/>
    <w:rsid w:val="00807C4A"/>
    <w:rsid w:val="00810267"/>
    <w:rsid w:val="00810888"/>
    <w:rsid w:val="00810A57"/>
    <w:rsid w:val="0081128C"/>
    <w:rsid w:val="00811489"/>
    <w:rsid w:val="00811DA3"/>
    <w:rsid w:val="008128A4"/>
    <w:rsid w:val="008128FC"/>
    <w:rsid w:val="00812A62"/>
    <w:rsid w:val="00812ADB"/>
    <w:rsid w:val="008131B0"/>
    <w:rsid w:val="00813593"/>
    <w:rsid w:val="00813760"/>
    <w:rsid w:val="00813B1C"/>
    <w:rsid w:val="00814CF5"/>
    <w:rsid w:val="00814D57"/>
    <w:rsid w:val="00814FA0"/>
    <w:rsid w:val="00815E22"/>
    <w:rsid w:val="00816287"/>
    <w:rsid w:val="0081633D"/>
    <w:rsid w:val="0081641E"/>
    <w:rsid w:val="00816587"/>
    <w:rsid w:val="00816A6A"/>
    <w:rsid w:val="00817279"/>
    <w:rsid w:val="008172B9"/>
    <w:rsid w:val="00817D6F"/>
    <w:rsid w:val="00817F43"/>
    <w:rsid w:val="00820810"/>
    <w:rsid w:val="008209FD"/>
    <w:rsid w:val="0082104E"/>
    <w:rsid w:val="008225E7"/>
    <w:rsid w:val="008234E7"/>
    <w:rsid w:val="008238F8"/>
    <w:rsid w:val="00823E63"/>
    <w:rsid w:val="008245D0"/>
    <w:rsid w:val="00824F23"/>
    <w:rsid w:val="00826286"/>
    <w:rsid w:val="008266D5"/>
    <w:rsid w:val="00826704"/>
    <w:rsid w:val="00827184"/>
    <w:rsid w:val="00827428"/>
    <w:rsid w:val="0082780F"/>
    <w:rsid w:val="00827C2E"/>
    <w:rsid w:val="00827E04"/>
    <w:rsid w:val="00830C0A"/>
    <w:rsid w:val="0083106B"/>
    <w:rsid w:val="008320DF"/>
    <w:rsid w:val="00833258"/>
    <w:rsid w:val="0083330E"/>
    <w:rsid w:val="00833AF4"/>
    <w:rsid w:val="00833EB1"/>
    <w:rsid w:val="00834B60"/>
    <w:rsid w:val="00835442"/>
    <w:rsid w:val="00835C6C"/>
    <w:rsid w:val="008368B1"/>
    <w:rsid w:val="008370AA"/>
    <w:rsid w:val="00837186"/>
    <w:rsid w:val="0083775E"/>
    <w:rsid w:val="00837A67"/>
    <w:rsid w:val="00840439"/>
    <w:rsid w:val="00840766"/>
    <w:rsid w:val="00840790"/>
    <w:rsid w:val="008408DF"/>
    <w:rsid w:val="00840A10"/>
    <w:rsid w:val="00840C57"/>
    <w:rsid w:val="00840E12"/>
    <w:rsid w:val="00841350"/>
    <w:rsid w:val="0084188B"/>
    <w:rsid w:val="008418DC"/>
    <w:rsid w:val="008425EB"/>
    <w:rsid w:val="00843204"/>
    <w:rsid w:val="00843F83"/>
    <w:rsid w:val="00844676"/>
    <w:rsid w:val="00844767"/>
    <w:rsid w:val="00844D3D"/>
    <w:rsid w:val="00844EC7"/>
    <w:rsid w:val="00844FB1"/>
    <w:rsid w:val="00845CAD"/>
    <w:rsid w:val="00846487"/>
    <w:rsid w:val="00846E53"/>
    <w:rsid w:val="0084784A"/>
    <w:rsid w:val="00847C9F"/>
    <w:rsid w:val="008515C2"/>
    <w:rsid w:val="00851EC4"/>
    <w:rsid w:val="008523F5"/>
    <w:rsid w:val="00852A98"/>
    <w:rsid w:val="00852FBC"/>
    <w:rsid w:val="008530B5"/>
    <w:rsid w:val="008531C3"/>
    <w:rsid w:val="008533CF"/>
    <w:rsid w:val="00853D03"/>
    <w:rsid w:val="00853DE9"/>
    <w:rsid w:val="008545A1"/>
    <w:rsid w:val="0085474A"/>
    <w:rsid w:val="0085490B"/>
    <w:rsid w:val="00854D49"/>
    <w:rsid w:val="00854E63"/>
    <w:rsid w:val="008555DC"/>
    <w:rsid w:val="008567B2"/>
    <w:rsid w:val="008569A4"/>
    <w:rsid w:val="00857D8E"/>
    <w:rsid w:val="00860274"/>
    <w:rsid w:val="0086077D"/>
    <w:rsid w:val="00860B3F"/>
    <w:rsid w:val="00860C61"/>
    <w:rsid w:val="00860C80"/>
    <w:rsid w:val="00860F08"/>
    <w:rsid w:val="00861234"/>
    <w:rsid w:val="008614E3"/>
    <w:rsid w:val="00861529"/>
    <w:rsid w:val="008615AA"/>
    <w:rsid w:val="008623A9"/>
    <w:rsid w:val="00862A61"/>
    <w:rsid w:val="00862B95"/>
    <w:rsid w:val="008635BD"/>
    <w:rsid w:val="00863773"/>
    <w:rsid w:val="00864C70"/>
    <w:rsid w:val="00865052"/>
    <w:rsid w:val="0086552E"/>
    <w:rsid w:val="0086578F"/>
    <w:rsid w:val="00866202"/>
    <w:rsid w:val="00866270"/>
    <w:rsid w:val="0086673E"/>
    <w:rsid w:val="00867D7F"/>
    <w:rsid w:val="0087023D"/>
    <w:rsid w:val="00870C9B"/>
    <w:rsid w:val="00871613"/>
    <w:rsid w:val="00871A79"/>
    <w:rsid w:val="00871E0B"/>
    <w:rsid w:val="00871E7A"/>
    <w:rsid w:val="008725AB"/>
    <w:rsid w:val="00873698"/>
    <w:rsid w:val="00873746"/>
    <w:rsid w:val="0087383C"/>
    <w:rsid w:val="0087398D"/>
    <w:rsid w:val="008739B9"/>
    <w:rsid w:val="00873AC7"/>
    <w:rsid w:val="00873B03"/>
    <w:rsid w:val="00873CD5"/>
    <w:rsid w:val="00874140"/>
    <w:rsid w:val="00874766"/>
    <w:rsid w:val="00874856"/>
    <w:rsid w:val="00874D29"/>
    <w:rsid w:val="00875773"/>
    <w:rsid w:val="0087698D"/>
    <w:rsid w:val="00876D34"/>
    <w:rsid w:val="00877327"/>
    <w:rsid w:val="00877570"/>
    <w:rsid w:val="00877D77"/>
    <w:rsid w:val="0088023E"/>
    <w:rsid w:val="00881498"/>
    <w:rsid w:val="008826BA"/>
    <w:rsid w:val="008826C5"/>
    <w:rsid w:val="00882892"/>
    <w:rsid w:val="0088302F"/>
    <w:rsid w:val="00883191"/>
    <w:rsid w:val="00883288"/>
    <w:rsid w:val="00883956"/>
    <w:rsid w:val="00884960"/>
    <w:rsid w:val="00884FEC"/>
    <w:rsid w:val="00885327"/>
    <w:rsid w:val="00885382"/>
    <w:rsid w:val="008859F2"/>
    <w:rsid w:val="00886778"/>
    <w:rsid w:val="0088705C"/>
    <w:rsid w:val="008872D5"/>
    <w:rsid w:val="0088789C"/>
    <w:rsid w:val="00887F33"/>
    <w:rsid w:val="00887F5B"/>
    <w:rsid w:val="00890012"/>
    <w:rsid w:val="008906F7"/>
    <w:rsid w:val="0089147A"/>
    <w:rsid w:val="0089149F"/>
    <w:rsid w:val="008927EF"/>
    <w:rsid w:val="00892AF2"/>
    <w:rsid w:val="00892B6F"/>
    <w:rsid w:val="00892E22"/>
    <w:rsid w:val="00893272"/>
    <w:rsid w:val="008934B4"/>
    <w:rsid w:val="00893A24"/>
    <w:rsid w:val="00893C10"/>
    <w:rsid w:val="008942AE"/>
    <w:rsid w:val="0089503E"/>
    <w:rsid w:val="008951E9"/>
    <w:rsid w:val="00895364"/>
    <w:rsid w:val="00896627"/>
    <w:rsid w:val="008969F3"/>
    <w:rsid w:val="00896C3C"/>
    <w:rsid w:val="00897056"/>
    <w:rsid w:val="0089707C"/>
    <w:rsid w:val="00897191"/>
    <w:rsid w:val="00897D51"/>
    <w:rsid w:val="008A0B81"/>
    <w:rsid w:val="008A1347"/>
    <w:rsid w:val="008A161D"/>
    <w:rsid w:val="008A1754"/>
    <w:rsid w:val="008A1A65"/>
    <w:rsid w:val="008A1B4D"/>
    <w:rsid w:val="008A1CB7"/>
    <w:rsid w:val="008A208D"/>
    <w:rsid w:val="008A2235"/>
    <w:rsid w:val="008A26AF"/>
    <w:rsid w:val="008A2BEA"/>
    <w:rsid w:val="008A2E59"/>
    <w:rsid w:val="008A31DA"/>
    <w:rsid w:val="008A3236"/>
    <w:rsid w:val="008A3314"/>
    <w:rsid w:val="008A36F5"/>
    <w:rsid w:val="008A3D1C"/>
    <w:rsid w:val="008A3DD6"/>
    <w:rsid w:val="008A407E"/>
    <w:rsid w:val="008A4947"/>
    <w:rsid w:val="008A4A77"/>
    <w:rsid w:val="008A4DE8"/>
    <w:rsid w:val="008A523D"/>
    <w:rsid w:val="008A557B"/>
    <w:rsid w:val="008A5890"/>
    <w:rsid w:val="008A5CEE"/>
    <w:rsid w:val="008A5DC0"/>
    <w:rsid w:val="008A7860"/>
    <w:rsid w:val="008B06BC"/>
    <w:rsid w:val="008B0E4D"/>
    <w:rsid w:val="008B1215"/>
    <w:rsid w:val="008B1423"/>
    <w:rsid w:val="008B15C2"/>
    <w:rsid w:val="008B277E"/>
    <w:rsid w:val="008B2F71"/>
    <w:rsid w:val="008B3BE0"/>
    <w:rsid w:val="008B3D2E"/>
    <w:rsid w:val="008B3FF9"/>
    <w:rsid w:val="008B41EB"/>
    <w:rsid w:val="008B427A"/>
    <w:rsid w:val="008B468C"/>
    <w:rsid w:val="008B4B92"/>
    <w:rsid w:val="008B52C1"/>
    <w:rsid w:val="008B6193"/>
    <w:rsid w:val="008B650B"/>
    <w:rsid w:val="008B651B"/>
    <w:rsid w:val="008B6885"/>
    <w:rsid w:val="008B69FB"/>
    <w:rsid w:val="008B6D6C"/>
    <w:rsid w:val="008B7264"/>
    <w:rsid w:val="008B72C9"/>
    <w:rsid w:val="008B7E6B"/>
    <w:rsid w:val="008C0821"/>
    <w:rsid w:val="008C0A73"/>
    <w:rsid w:val="008C0EAA"/>
    <w:rsid w:val="008C1B3B"/>
    <w:rsid w:val="008C1BE8"/>
    <w:rsid w:val="008C2FC5"/>
    <w:rsid w:val="008C4494"/>
    <w:rsid w:val="008C4B2D"/>
    <w:rsid w:val="008C51F8"/>
    <w:rsid w:val="008C5389"/>
    <w:rsid w:val="008C6181"/>
    <w:rsid w:val="008C63A0"/>
    <w:rsid w:val="008C63D7"/>
    <w:rsid w:val="008C64DC"/>
    <w:rsid w:val="008C6B9F"/>
    <w:rsid w:val="008C7419"/>
    <w:rsid w:val="008C769A"/>
    <w:rsid w:val="008C79F3"/>
    <w:rsid w:val="008C7CA8"/>
    <w:rsid w:val="008D004C"/>
    <w:rsid w:val="008D034E"/>
    <w:rsid w:val="008D0F8D"/>
    <w:rsid w:val="008D1B6C"/>
    <w:rsid w:val="008D22BC"/>
    <w:rsid w:val="008D2690"/>
    <w:rsid w:val="008D2E89"/>
    <w:rsid w:val="008D312C"/>
    <w:rsid w:val="008D3793"/>
    <w:rsid w:val="008D3C29"/>
    <w:rsid w:val="008D3CDA"/>
    <w:rsid w:val="008D3D49"/>
    <w:rsid w:val="008D40CB"/>
    <w:rsid w:val="008D413F"/>
    <w:rsid w:val="008D42C9"/>
    <w:rsid w:val="008D4DF7"/>
    <w:rsid w:val="008D529A"/>
    <w:rsid w:val="008D67ED"/>
    <w:rsid w:val="008D682C"/>
    <w:rsid w:val="008D68B0"/>
    <w:rsid w:val="008D7520"/>
    <w:rsid w:val="008D782A"/>
    <w:rsid w:val="008D7844"/>
    <w:rsid w:val="008E0063"/>
    <w:rsid w:val="008E022D"/>
    <w:rsid w:val="008E03D2"/>
    <w:rsid w:val="008E03D3"/>
    <w:rsid w:val="008E0669"/>
    <w:rsid w:val="008E09E7"/>
    <w:rsid w:val="008E106C"/>
    <w:rsid w:val="008E14D8"/>
    <w:rsid w:val="008E1672"/>
    <w:rsid w:val="008E19E9"/>
    <w:rsid w:val="008E1F14"/>
    <w:rsid w:val="008E1FB2"/>
    <w:rsid w:val="008E2187"/>
    <w:rsid w:val="008E2CE0"/>
    <w:rsid w:val="008E3086"/>
    <w:rsid w:val="008E3235"/>
    <w:rsid w:val="008E33CD"/>
    <w:rsid w:val="008E3E40"/>
    <w:rsid w:val="008E436C"/>
    <w:rsid w:val="008E44CE"/>
    <w:rsid w:val="008E4E1B"/>
    <w:rsid w:val="008E5822"/>
    <w:rsid w:val="008E5B8D"/>
    <w:rsid w:val="008E5E11"/>
    <w:rsid w:val="008E66D5"/>
    <w:rsid w:val="008E687F"/>
    <w:rsid w:val="008E6B74"/>
    <w:rsid w:val="008E6FC7"/>
    <w:rsid w:val="008E772F"/>
    <w:rsid w:val="008E77E4"/>
    <w:rsid w:val="008E7A4B"/>
    <w:rsid w:val="008E7E07"/>
    <w:rsid w:val="008F04CC"/>
    <w:rsid w:val="008F1895"/>
    <w:rsid w:val="008F1A87"/>
    <w:rsid w:val="008F1E54"/>
    <w:rsid w:val="008F2784"/>
    <w:rsid w:val="008F2C56"/>
    <w:rsid w:val="008F3C40"/>
    <w:rsid w:val="008F414F"/>
    <w:rsid w:val="008F43B2"/>
    <w:rsid w:val="008F5E2E"/>
    <w:rsid w:val="008F6391"/>
    <w:rsid w:val="008F7598"/>
    <w:rsid w:val="009013AB"/>
    <w:rsid w:val="00901E03"/>
    <w:rsid w:val="0090245E"/>
    <w:rsid w:val="009026D5"/>
    <w:rsid w:val="00902A2E"/>
    <w:rsid w:val="00902F17"/>
    <w:rsid w:val="009030F3"/>
    <w:rsid w:val="0090335C"/>
    <w:rsid w:val="0090370A"/>
    <w:rsid w:val="00903C64"/>
    <w:rsid w:val="00903F89"/>
    <w:rsid w:val="00904038"/>
    <w:rsid w:val="00904110"/>
    <w:rsid w:val="009050AC"/>
    <w:rsid w:val="009052A7"/>
    <w:rsid w:val="0090537E"/>
    <w:rsid w:val="009057C9"/>
    <w:rsid w:val="00905CA7"/>
    <w:rsid w:val="00906D9E"/>
    <w:rsid w:val="009113D4"/>
    <w:rsid w:val="00911690"/>
    <w:rsid w:val="00911858"/>
    <w:rsid w:val="00911C65"/>
    <w:rsid w:val="00911D6E"/>
    <w:rsid w:val="0091218E"/>
    <w:rsid w:val="0091231E"/>
    <w:rsid w:val="009123FD"/>
    <w:rsid w:val="00913803"/>
    <w:rsid w:val="0091389E"/>
    <w:rsid w:val="00914387"/>
    <w:rsid w:val="009154FA"/>
    <w:rsid w:val="00916114"/>
    <w:rsid w:val="009161CE"/>
    <w:rsid w:val="00916643"/>
    <w:rsid w:val="00916735"/>
    <w:rsid w:val="00916E66"/>
    <w:rsid w:val="00917705"/>
    <w:rsid w:val="00917830"/>
    <w:rsid w:val="00917D73"/>
    <w:rsid w:val="00923072"/>
    <w:rsid w:val="00923374"/>
    <w:rsid w:val="00923B48"/>
    <w:rsid w:val="00923CB9"/>
    <w:rsid w:val="00923CF7"/>
    <w:rsid w:val="00923F7C"/>
    <w:rsid w:val="00923F9A"/>
    <w:rsid w:val="009253BA"/>
    <w:rsid w:val="00925490"/>
    <w:rsid w:val="00925832"/>
    <w:rsid w:val="00925C62"/>
    <w:rsid w:val="00926413"/>
    <w:rsid w:val="00926C6E"/>
    <w:rsid w:val="00926E1E"/>
    <w:rsid w:val="009273E5"/>
    <w:rsid w:val="009278DA"/>
    <w:rsid w:val="00927A02"/>
    <w:rsid w:val="00927C74"/>
    <w:rsid w:val="00930665"/>
    <w:rsid w:val="009306CA"/>
    <w:rsid w:val="0093110D"/>
    <w:rsid w:val="00931139"/>
    <w:rsid w:val="00931162"/>
    <w:rsid w:val="009315A7"/>
    <w:rsid w:val="00931FFF"/>
    <w:rsid w:val="00932021"/>
    <w:rsid w:val="009327C5"/>
    <w:rsid w:val="00932AAD"/>
    <w:rsid w:val="00932C38"/>
    <w:rsid w:val="009331AE"/>
    <w:rsid w:val="00933281"/>
    <w:rsid w:val="00933690"/>
    <w:rsid w:val="00933EE0"/>
    <w:rsid w:val="00935386"/>
    <w:rsid w:val="00935663"/>
    <w:rsid w:val="00935D58"/>
    <w:rsid w:val="00935F82"/>
    <w:rsid w:val="00935FF5"/>
    <w:rsid w:val="009361BE"/>
    <w:rsid w:val="009365A2"/>
    <w:rsid w:val="00936E89"/>
    <w:rsid w:val="009378B0"/>
    <w:rsid w:val="00937B52"/>
    <w:rsid w:val="009403E2"/>
    <w:rsid w:val="009407E3"/>
    <w:rsid w:val="009409BA"/>
    <w:rsid w:val="00940A39"/>
    <w:rsid w:val="009419B0"/>
    <w:rsid w:val="00943E83"/>
    <w:rsid w:val="00944514"/>
    <w:rsid w:val="0094468A"/>
    <w:rsid w:val="00944867"/>
    <w:rsid w:val="00944D6D"/>
    <w:rsid w:val="009455D6"/>
    <w:rsid w:val="009459DF"/>
    <w:rsid w:val="00945C3B"/>
    <w:rsid w:val="0094606B"/>
    <w:rsid w:val="009463D6"/>
    <w:rsid w:val="009467DE"/>
    <w:rsid w:val="00946A8A"/>
    <w:rsid w:val="009533EB"/>
    <w:rsid w:val="009535EF"/>
    <w:rsid w:val="0095499C"/>
    <w:rsid w:val="00954ECE"/>
    <w:rsid w:val="009550E3"/>
    <w:rsid w:val="00955319"/>
    <w:rsid w:val="00955592"/>
    <w:rsid w:val="00955610"/>
    <w:rsid w:val="00955667"/>
    <w:rsid w:val="00955A4E"/>
    <w:rsid w:val="009562B9"/>
    <w:rsid w:val="00956F3F"/>
    <w:rsid w:val="009571D5"/>
    <w:rsid w:val="00957687"/>
    <w:rsid w:val="0096042A"/>
    <w:rsid w:val="00960C69"/>
    <w:rsid w:val="00960D44"/>
    <w:rsid w:val="00960DFD"/>
    <w:rsid w:val="00960FFC"/>
    <w:rsid w:val="009614A3"/>
    <w:rsid w:val="009615CE"/>
    <w:rsid w:val="00961678"/>
    <w:rsid w:val="00962E38"/>
    <w:rsid w:val="009636D1"/>
    <w:rsid w:val="00963945"/>
    <w:rsid w:val="0096445C"/>
    <w:rsid w:val="009658AA"/>
    <w:rsid w:val="009658B6"/>
    <w:rsid w:val="00967637"/>
    <w:rsid w:val="0096778F"/>
    <w:rsid w:val="009678C3"/>
    <w:rsid w:val="00967D09"/>
    <w:rsid w:val="00967E37"/>
    <w:rsid w:val="00970426"/>
    <w:rsid w:val="00970B25"/>
    <w:rsid w:val="00971061"/>
    <w:rsid w:val="009716F1"/>
    <w:rsid w:val="00971932"/>
    <w:rsid w:val="00971EC3"/>
    <w:rsid w:val="00972352"/>
    <w:rsid w:val="00973080"/>
    <w:rsid w:val="009730C0"/>
    <w:rsid w:val="0097372C"/>
    <w:rsid w:val="00973A2A"/>
    <w:rsid w:val="00974334"/>
    <w:rsid w:val="0097441B"/>
    <w:rsid w:val="009744DE"/>
    <w:rsid w:val="009746CD"/>
    <w:rsid w:val="00974A25"/>
    <w:rsid w:val="00974A8C"/>
    <w:rsid w:val="00974B47"/>
    <w:rsid w:val="00974C6F"/>
    <w:rsid w:val="00975418"/>
    <w:rsid w:val="00976049"/>
    <w:rsid w:val="009760BF"/>
    <w:rsid w:val="00977192"/>
    <w:rsid w:val="009779F7"/>
    <w:rsid w:val="00977C72"/>
    <w:rsid w:val="00980232"/>
    <w:rsid w:val="0098038D"/>
    <w:rsid w:val="0098051D"/>
    <w:rsid w:val="009808C0"/>
    <w:rsid w:val="009811A7"/>
    <w:rsid w:val="009815F4"/>
    <w:rsid w:val="00981791"/>
    <w:rsid w:val="00982282"/>
    <w:rsid w:val="009822BE"/>
    <w:rsid w:val="00982826"/>
    <w:rsid w:val="0098386A"/>
    <w:rsid w:val="00983F24"/>
    <w:rsid w:val="0098420B"/>
    <w:rsid w:val="0098428E"/>
    <w:rsid w:val="009847E1"/>
    <w:rsid w:val="00984CC4"/>
    <w:rsid w:val="00984F61"/>
    <w:rsid w:val="009855D0"/>
    <w:rsid w:val="00985735"/>
    <w:rsid w:val="00985784"/>
    <w:rsid w:val="0098596B"/>
    <w:rsid w:val="00985B43"/>
    <w:rsid w:val="00986780"/>
    <w:rsid w:val="009868E3"/>
    <w:rsid w:val="0098704A"/>
    <w:rsid w:val="009870E1"/>
    <w:rsid w:val="009871ED"/>
    <w:rsid w:val="00987A21"/>
    <w:rsid w:val="00990480"/>
    <w:rsid w:val="0099053B"/>
    <w:rsid w:val="00990776"/>
    <w:rsid w:val="009907D4"/>
    <w:rsid w:val="0099084E"/>
    <w:rsid w:val="00990AEA"/>
    <w:rsid w:val="00990D3E"/>
    <w:rsid w:val="00991D76"/>
    <w:rsid w:val="009921C4"/>
    <w:rsid w:val="00992C0A"/>
    <w:rsid w:val="00992E2E"/>
    <w:rsid w:val="00992EC1"/>
    <w:rsid w:val="00993031"/>
    <w:rsid w:val="00993149"/>
    <w:rsid w:val="009938D5"/>
    <w:rsid w:val="00993B12"/>
    <w:rsid w:val="00993F4C"/>
    <w:rsid w:val="0099420B"/>
    <w:rsid w:val="009945AA"/>
    <w:rsid w:val="00994FD1"/>
    <w:rsid w:val="00995298"/>
    <w:rsid w:val="00995BC2"/>
    <w:rsid w:val="00996410"/>
    <w:rsid w:val="00996554"/>
    <w:rsid w:val="00997142"/>
    <w:rsid w:val="00997C1B"/>
    <w:rsid w:val="00997F8D"/>
    <w:rsid w:val="009A1429"/>
    <w:rsid w:val="009A2B72"/>
    <w:rsid w:val="009A30D9"/>
    <w:rsid w:val="009A31A2"/>
    <w:rsid w:val="009A3CBE"/>
    <w:rsid w:val="009A44CA"/>
    <w:rsid w:val="009A4516"/>
    <w:rsid w:val="009A464F"/>
    <w:rsid w:val="009A56C1"/>
    <w:rsid w:val="009A5AF9"/>
    <w:rsid w:val="009A6B49"/>
    <w:rsid w:val="009A6D57"/>
    <w:rsid w:val="009A7623"/>
    <w:rsid w:val="009A7D96"/>
    <w:rsid w:val="009A7F1F"/>
    <w:rsid w:val="009B0902"/>
    <w:rsid w:val="009B1485"/>
    <w:rsid w:val="009B1D3B"/>
    <w:rsid w:val="009B1EF1"/>
    <w:rsid w:val="009B2190"/>
    <w:rsid w:val="009B24E3"/>
    <w:rsid w:val="009B2C6B"/>
    <w:rsid w:val="009B31A2"/>
    <w:rsid w:val="009B3B40"/>
    <w:rsid w:val="009B40F4"/>
    <w:rsid w:val="009B4AEF"/>
    <w:rsid w:val="009B4EC5"/>
    <w:rsid w:val="009B64B2"/>
    <w:rsid w:val="009B67F8"/>
    <w:rsid w:val="009B6846"/>
    <w:rsid w:val="009B69A0"/>
    <w:rsid w:val="009B7048"/>
    <w:rsid w:val="009B7554"/>
    <w:rsid w:val="009B7BE9"/>
    <w:rsid w:val="009B7DD0"/>
    <w:rsid w:val="009C08A4"/>
    <w:rsid w:val="009C0AB4"/>
    <w:rsid w:val="009C0CF7"/>
    <w:rsid w:val="009C1416"/>
    <w:rsid w:val="009C31C1"/>
    <w:rsid w:val="009C398D"/>
    <w:rsid w:val="009C3E3D"/>
    <w:rsid w:val="009C4E1E"/>
    <w:rsid w:val="009C5334"/>
    <w:rsid w:val="009C5872"/>
    <w:rsid w:val="009C645B"/>
    <w:rsid w:val="009C6703"/>
    <w:rsid w:val="009C6E15"/>
    <w:rsid w:val="009C7EEC"/>
    <w:rsid w:val="009D038D"/>
    <w:rsid w:val="009D0601"/>
    <w:rsid w:val="009D0A03"/>
    <w:rsid w:val="009D0B49"/>
    <w:rsid w:val="009D166D"/>
    <w:rsid w:val="009D17DD"/>
    <w:rsid w:val="009D1BF9"/>
    <w:rsid w:val="009D254B"/>
    <w:rsid w:val="009D28AE"/>
    <w:rsid w:val="009D30B0"/>
    <w:rsid w:val="009D3A5F"/>
    <w:rsid w:val="009D3FBE"/>
    <w:rsid w:val="009D4A93"/>
    <w:rsid w:val="009D5260"/>
    <w:rsid w:val="009D62FB"/>
    <w:rsid w:val="009D68CB"/>
    <w:rsid w:val="009D7302"/>
    <w:rsid w:val="009D7B45"/>
    <w:rsid w:val="009D7E75"/>
    <w:rsid w:val="009E0405"/>
    <w:rsid w:val="009E0779"/>
    <w:rsid w:val="009E0AE1"/>
    <w:rsid w:val="009E0B4F"/>
    <w:rsid w:val="009E1A84"/>
    <w:rsid w:val="009E1E63"/>
    <w:rsid w:val="009E2308"/>
    <w:rsid w:val="009E2C6D"/>
    <w:rsid w:val="009E2EFC"/>
    <w:rsid w:val="009E3187"/>
    <w:rsid w:val="009E3379"/>
    <w:rsid w:val="009E33BA"/>
    <w:rsid w:val="009E33DD"/>
    <w:rsid w:val="009E37D9"/>
    <w:rsid w:val="009E381A"/>
    <w:rsid w:val="009E3FA4"/>
    <w:rsid w:val="009E41E9"/>
    <w:rsid w:val="009E4C56"/>
    <w:rsid w:val="009E5523"/>
    <w:rsid w:val="009E5598"/>
    <w:rsid w:val="009E574E"/>
    <w:rsid w:val="009E5A9D"/>
    <w:rsid w:val="009E61BC"/>
    <w:rsid w:val="009E678F"/>
    <w:rsid w:val="009E6B0E"/>
    <w:rsid w:val="009E6DEC"/>
    <w:rsid w:val="009E757B"/>
    <w:rsid w:val="009E76EA"/>
    <w:rsid w:val="009E78AF"/>
    <w:rsid w:val="009E7C66"/>
    <w:rsid w:val="009E7F5E"/>
    <w:rsid w:val="009F019C"/>
    <w:rsid w:val="009F0834"/>
    <w:rsid w:val="009F16F6"/>
    <w:rsid w:val="009F1AF9"/>
    <w:rsid w:val="009F1E51"/>
    <w:rsid w:val="009F1EA8"/>
    <w:rsid w:val="009F219A"/>
    <w:rsid w:val="009F265F"/>
    <w:rsid w:val="009F2B32"/>
    <w:rsid w:val="009F2CD9"/>
    <w:rsid w:val="009F2E5F"/>
    <w:rsid w:val="009F2EC6"/>
    <w:rsid w:val="009F32A6"/>
    <w:rsid w:val="009F34CD"/>
    <w:rsid w:val="009F38B8"/>
    <w:rsid w:val="009F3BB2"/>
    <w:rsid w:val="009F3C16"/>
    <w:rsid w:val="009F3DE1"/>
    <w:rsid w:val="009F44EC"/>
    <w:rsid w:val="009F4C25"/>
    <w:rsid w:val="009F52EC"/>
    <w:rsid w:val="009F53CB"/>
    <w:rsid w:val="009F586B"/>
    <w:rsid w:val="009F5874"/>
    <w:rsid w:val="009F6369"/>
    <w:rsid w:val="009F681E"/>
    <w:rsid w:val="009F699B"/>
    <w:rsid w:val="009F69A9"/>
    <w:rsid w:val="009F6FBB"/>
    <w:rsid w:val="009F7F42"/>
    <w:rsid w:val="00A005C9"/>
    <w:rsid w:val="00A01218"/>
    <w:rsid w:val="00A01866"/>
    <w:rsid w:val="00A02DD3"/>
    <w:rsid w:val="00A03852"/>
    <w:rsid w:val="00A039A3"/>
    <w:rsid w:val="00A048DB"/>
    <w:rsid w:val="00A048DD"/>
    <w:rsid w:val="00A04A59"/>
    <w:rsid w:val="00A058F8"/>
    <w:rsid w:val="00A05B48"/>
    <w:rsid w:val="00A05BE5"/>
    <w:rsid w:val="00A05D73"/>
    <w:rsid w:val="00A061B3"/>
    <w:rsid w:val="00A0695D"/>
    <w:rsid w:val="00A06AB4"/>
    <w:rsid w:val="00A06B3A"/>
    <w:rsid w:val="00A07287"/>
    <w:rsid w:val="00A07EB8"/>
    <w:rsid w:val="00A1008D"/>
    <w:rsid w:val="00A10BF3"/>
    <w:rsid w:val="00A10E03"/>
    <w:rsid w:val="00A10E68"/>
    <w:rsid w:val="00A11234"/>
    <w:rsid w:val="00A112D2"/>
    <w:rsid w:val="00A114DE"/>
    <w:rsid w:val="00A1153C"/>
    <w:rsid w:val="00A116A8"/>
    <w:rsid w:val="00A11AF3"/>
    <w:rsid w:val="00A120DA"/>
    <w:rsid w:val="00A12142"/>
    <w:rsid w:val="00A12361"/>
    <w:rsid w:val="00A1253C"/>
    <w:rsid w:val="00A12547"/>
    <w:rsid w:val="00A12711"/>
    <w:rsid w:val="00A1289B"/>
    <w:rsid w:val="00A12B68"/>
    <w:rsid w:val="00A13839"/>
    <w:rsid w:val="00A1398D"/>
    <w:rsid w:val="00A13B91"/>
    <w:rsid w:val="00A140D0"/>
    <w:rsid w:val="00A1468C"/>
    <w:rsid w:val="00A14E1F"/>
    <w:rsid w:val="00A153EE"/>
    <w:rsid w:val="00A15452"/>
    <w:rsid w:val="00A15752"/>
    <w:rsid w:val="00A15842"/>
    <w:rsid w:val="00A15E57"/>
    <w:rsid w:val="00A15F96"/>
    <w:rsid w:val="00A16750"/>
    <w:rsid w:val="00A16951"/>
    <w:rsid w:val="00A169CD"/>
    <w:rsid w:val="00A16AF5"/>
    <w:rsid w:val="00A17171"/>
    <w:rsid w:val="00A175CA"/>
    <w:rsid w:val="00A1775B"/>
    <w:rsid w:val="00A17925"/>
    <w:rsid w:val="00A17A82"/>
    <w:rsid w:val="00A17F42"/>
    <w:rsid w:val="00A2106B"/>
    <w:rsid w:val="00A21621"/>
    <w:rsid w:val="00A21910"/>
    <w:rsid w:val="00A21BCA"/>
    <w:rsid w:val="00A22E2B"/>
    <w:rsid w:val="00A23539"/>
    <w:rsid w:val="00A23929"/>
    <w:rsid w:val="00A241E0"/>
    <w:rsid w:val="00A241F3"/>
    <w:rsid w:val="00A247A3"/>
    <w:rsid w:val="00A261B8"/>
    <w:rsid w:val="00A265A4"/>
    <w:rsid w:val="00A270CB"/>
    <w:rsid w:val="00A27A72"/>
    <w:rsid w:val="00A30780"/>
    <w:rsid w:val="00A30B63"/>
    <w:rsid w:val="00A31531"/>
    <w:rsid w:val="00A3176C"/>
    <w:rsid w:val="00A31956"/>
    <w:rsid w:val="00A31BE0"/>
    <w:rsid w:val="00A3216D"/>
    <w:rsid w:val="00A32FD5"/>
    <w:rsid w:val="00A336B5"/>
    <w:rsid w:val="00A346EA"/>
    <w:rsid w:val="00A347AC"/>
    <w:rsid w:val="00A34A03"/>
    <w:rsid w:val="00A34B3C"/>
    <w:rsid w:val="00A34E16"/>
    <w:rsid w:val="00A34E94"/>
    <w:rsid w:val="00A34F03"/>
    <w:rsid w:val="00A35070"/>
    <w:rsid w:val="00A3533A"/>
    <w:rsid w:val="00A36805"/>
    <w:rsid w:val="00A368DB"/>
    <w:rsid w:val="00A36FE2"/>
    <w:rsid w:val="00A3727C"/>
    <w:rsid w:val="00A379DD"/>
    <w:rsid w:val="00A37C6D"/>
    <w:rsid w:val="00A37D4C"/>
    <w:rsid w:val="00A40D26"/>
    <w:rsid w:val="00A40D70"/>
    <w:rsid w:val="00A411AA"/>
    <w:rsid w:val="00A412E2"/>
    <w:rsid w:val="00A41843"/>
    <w:rsid w:val="00A41C13"/>
    <w:rsid w:val="00A41E09"/>
    <w:rsid w:val="00A42B26"/>
    <w:rsid w:val="00A42E24"/>
    <w:rsid w:val="00A432A6"/>
    <w:rsid w:val="00A43D35"/>
    <w:rsid w:val="00A44960"/>
    <w:rsid w:val="00A450F0"/>
    <w:rsid w:val="00A46157"/>
    <w:rsid w:val="00A467C2"/>
    <w:rsid w:val="00A47249"/>
    <w:rsid w:val="00A501AF"/>
    <w:rsid w:val="00A50241"/>
    <w:rsid w:val="00A5046E"/>
    <w:rsid w:val="00A51443"/>
    <w:rsid w:val="00A51612"/>
    <w:rsid w:val="00A518EB"/>
    <w:rsid w:val="00A52324"/>
    <w:rsid w:val="00A525E5"/>
    <w:rsid w:val="00A52776"/>
    <w:rsid w:val="00A53028"/>
    <w:rsid w:val="00A533DD"/>
    <w:rsid w:val="00A5464D"/>
    <w:rsid w:val="00A54FFF"/>
    <w:rsid w:val="00A55081"/>
    <w:rsid w:val="00A557CC"/>
    <w:rsid w:val="00A559B8"/>
    <w:rsid w:val="00A56020"/>
    <w:rsid w:val="00A5646A"/>
    <w:rsid w:val="00A56B9D"/>
    <w:rsid w:val="00A57DD0"/>
    <w:rsid w:val="00A57E1E"/>
    <w:rsid w:val="00A603E4"/>
    <w:rsid w:val="00A6051A"/>
    <w:rsid w:val="00A60694"/>
    <w:rsid w:val="00A60939"/>
    <w:rsid w:val="00A61452"/>
    <w:rsid w:val="00A620CD"/>
    <w:rsid w:val="00A62370"/>
    <w:rsid w:val="00A63073"/>
    <w:rsid w:val="00A63D5B"/>
    <w:rsid w:val="00A63EA8"/>
    <w:rsid w:val="00A64256"/>
    <w:rsid w:val="00A64642"/>
    <w:rsid w:val="00A646E4"/>
    <w:rsid w:val="00A652A5"/>
    <w:rsid w:val="00A65968"/>
    <w:rsid w:val="00A66A11"/>
    <w:rsid w:val="00A6707B"/>
    <w:rsid w:val="00A67D17"/>
    <w:rsid w:val="00A70616"/>
    <w:rsid w:val="00A71404"/>
    <w:rsid w:val="00A71C5C"/>
    <w:rsid w:val="00A71FAE"/>
    <w:rsid w:val="00A729B0"/>
    <w:rsid w:val="00A72A4F"/>
    <w:rsid w:val="00A734FF"/>
    <w:rsid w:val="00A7388E"/>
    <w:rsid w:val="00A73D10"/>
    <w:rsid w:val="00A73E38"/>
    <w:rsid w:val="00A76358"/>
    <w:rsid w:val="00A7656D"/>
    <w:rsid w:val="00A76662"/>
    <w:rsid w:val="00A76CFC"/>
    <w:rsid w:val="00A774AC"/>
    <w:rsid w:val="00A77633"/>
    <w:rsid w:val="00A7787E"/>
    <w:rsid w:val="00A802E2"/>
    <w:rsid w:val="00A802E4"/>
    <w:rsid w:val="00A80764"/>
    <w:rsid w:val="00A80B7D"/>
    <w:rsid w:val="00A8217C"/>
    <w:rsid w:val="00A82369"/>
    <w:rsid w:val="00A82536"/>
    <w:rsid w:val="00A82774"/>
    <w:rsid w:val="00A83812"/>
    <w:rsid w:val="00A83DE5"/>
    <w:rsid w:val="00A840F0"/>
    <w:rsid w:val="00A842AF"/>
    <w:rsid w:val="00A85700"/>
    <w:rsid w:val="00A85D0E"/>
    <w:rsid w:val="00A87AA5"/>
    <w:rsid w:val="00A87EAD"/>
    <w:rsid w:val="00A90688"/>
    <w:rsid w:val="00A90C2E"/>
    <w:rsid w:val="00A90F47"/>
    <w:rsid w:val="00A912F6"/>
    <w:rsid w:val="00A9300F"/>
    <w:rsid w:val="00A930A0"/>
    <w:rsid w:val="00A935B4"/>
    <w:rsid w:val="00A93BBC"/>
    <w:rsid w:val="00A94C2F"/>
    <w:rsid w:val="00A94DD7"/>
    <w:rsid w:val="00A94EE7"/>
    <w:rsid w:val="00A96254"/>
    <w:rsid w:val="00A96537"/>
    <w:rsid w:val="00A96D20"/>
    <w:rsid w:val="00A97530"/>
    <w:rsid w:val="00AA036B"/>
    <w:rsid w:val="00AA0EE8"/>
    <w:rsid w:val="00AA104F"/>
    <w:rsid w:val="00AA1314"/>
    <w:rsid w:val="00AA173D"/>
    <w:rsid w:val="00AA19B7"/>
    <w:rsid w:val="00AA1A42"/>
    <w:rsid w:val="00AA21FB"/>
    <w:rsid w:val="00AA2236"/>
    <w:rsid w:val="00AA2C70"/>
    <w:rsid w:val="00AA2E7A"/>
    <w:rsid w:val="00AA362B"/>
    <w:rsid w:val="00AA3BC9"/>
    <w:rsid w:val="00AA4253"/>
    <w:rsid w:val="00AA4276"/>
    <w:rsid w:val="00AA4450"/>
    <w:rsid w:val="00AA4BDC"/>
    <w:rsid w:val="00AA5022"/>
    <w:rsid w:val="00AA552B"/>
    <w:rsid w:val="00AA5F7F"/>
    <w:rsid w:val="00AA6147"/>
    <w:rsid w:val="00AA6474"/>
    <w:rsid w:val="00AA654D"/>
    <w:rsid w:val="00AA661E"/>
    <w:rsid w:val="00AA7213"/>
    <w:rsid w:val="00AA7545"/>
    <w:rsid w:val="00AB01E9"/>
    <w:rsid w:val="00AB02F7"/>
    <w:rsid w:val="00AB0625"/>
    <w:rsid w:val="00AB06E9"/>
    <w:rsid w:val="00AB0C83"/>
    <w:rsid w:val="00AB1333"/>
    <w:rsid w:val="00AB1EAE"/>
    <w:rsid w:val="00AB2561"/>
    <w:rsid w:val="00AB2870"/>
    <w:rsid w:val="00AB2C72"/>
    <w:rsid w:val="00AB2D63"/>
    <w:rsid w:val="00AB3FA3"/>
    <w:rsid w:val="00AB42CD"/>
    <w:rsid w:val="00AB47A4"/>
    <w:rsid w:val="00AB4BC1"/>
    <w:rsid w:val="00AB4C44"/>
    <w:rsid w:val="00AB4CF1"/>
    <w:rsid w:val="00AB501D"/>
    <w:rsid w:val="00AB587D"/>
    <w:rsid w:val="00AB646C"/>
    <w:rsid w:val="00AB6A34"/>
    <w:rsid w:val="00AB6C31"/>
    <w:rsid w:val="00AB6CF2"/>
    <w:rsid w:val="00AB7EBA"/>
    <w:rsid w:val="00AB7EC0"/>
    <w:rsid w:val="00AC1231"/>
    <w:rsid w:val="00AC12D7"/>
    <w:rsid w:val="00AC153D"/>
    <w:rsid w:val="00AC1953"/>
    <w:rsid w:val="00AC1A7E"/>
    <w:rsid w:val="00AC1C09"/>
    <w:rsid w:val="00AC2668"/>
    <w:rsid w:val="00AC3D67"/>
    <w:rsid w:val="00AC3FE7"/>
    <w:rsid w:val="00AC44B7"/>
    <w:rsid w:val="00AC4824"/>
    <w:rsid w:val="00AC4C24"/>
    <w:rsid w:val="00AC51EC"/>
    <w:rsid w:val="00AC5604"/>
    <w:rsid w:val="00AC59A0"/>
    <w:rsid w:val="00AC59D2"/>
    <w:rsid w:val="00AC6777"/>
    <w:rsid w:val="00AC71D9"/>
    <w:rsid w:val="00AC7CD0"/>
    <w:rsid w:val="00AD05C4"/>
    <w:rsid w:val="00AD06AF"/>
    <w:rsid w:val="00AD0A1A"/>
    <w:rsid w:val="00AD1469"/>
    <w:rsid w:val="00AD1F64"/>
    <w:rsid w:val="00AD24A9"/>
    <w:rsid w:val="00AD2B2C"/>
    <w:rsid w:val="00AD3007"/>
    <w:rsid w:val="00AD3381"/>
    <w:rsid w:val="00AD384D"/>
    <w:rsid w:val="00AD3BFA"/>
    <w:rsid w:val="00AD3C32"/>
    <w:rsid w:val="00AD3F46"/>
    <w:rsid w:val="00AD4130"/>
    <w:rsid w:val="00AD434D"/>
    <w:rsid w:val="00AD443D"/>
    <w:rsid w:val="00AD4A39"/>
    <w:rsid w:val="00AD4AD0"/>
    <w:rsid w:val="00AD4EF2"/>
    <w:rsid w:val="00AD509E"/>
    <w:rsid w:val="00AD5367"/>
    <w:rsid w:val="00AD5AFE"/>
    <w:rsid w:val="00AD5F6F"/>
    <w:rsid w:val="00AD6669"/>
    <w:rsid w:val="00AD6850"/>
    <w:rsid w:val="00AD69A0"/>
    <w:rsid w:val="00AD6B54"/>
    <w:rsid w:val="00AD6D36"/>
    <w:rsid w:val="00AD7E6A"/>
    <w:rsid w:val="00AE0B40"/>
    <w:rsid w:val="00AE1595"/>
    <w:rsid w:val="00AE2952"/>
    <w:rsid w:val="00AE31C7"/>
    <w:rsid w:val="00AE3201"/>
    <w:rsid w:val="00AE412D"/>
    <w:rsid w:val="00AE455F"/>
    <w:rsid w:val="00AE5887"/>
    <w:rsid w:val="00AE5EF9"/>
    <w:rsid w:val="00AE64F8"/>
    <w:rsid w:val="00AE6671"/>
    <w:rsid w:val="00AE6AEF"/>
    <w:rsid w:val="00AE7E78"/>
    <w:rsid w:val="00AF0329"/>
    <w:rsid w:val="00AF0511"/>
    <w:rsid w:val="00AF0AEA"/>
    <w:rsid w:val="00AF1561"/>
    <w:rsid w:val="00AF1DE9"/>
    <w:rsid w:val="00AF201A"/>
    <w:rsid w:val="00AF23B8"/>
    <w:rsid w:val="00AF3776"/>
    <w:rsid w:val="00AF3C04"/>
    <w:rsid w:val="00AF3CCF"/>
    <w:rsid w:val="00AF3EE1"/>
    <w:rsid w:val="00AF4631"/>
    <w:rsid w:val="00AF4F6E"/>
    <w:rsid w:val="00AF5822"/>
    <w:rsid w:val="00AF5D0D"/>
    <w:rsid w:val="00AF5D43"/>
    <w:rsid w:val="00AF629A"/>
    <w:rsid w:val="00AF6C16"/>
    <w:rsid w:val="00AF6CA5"/>
    <w:rsid w:val="00AF711E"/>
    <w:rsid w:val="00AF788D"/>
    <w:rsid w:val="00B004C8"/>
    <w:rsid w:val="00B0069C"/>
    <w:rsid w:val="00B00D01"/>
    <w:rsid w:val="00B00D67"/>
    <w:rsid w:val="00B01B55"/>
    <w:rsid w:val="00B01C0E"/>
    <w:rsid w:val="00B02D75"/>
    <w:rsid w:val="00B02ECE"/>
    <w:rsid w:val="00B034FF"/>
    <w:rsid w:val="00B03540"/>
    <w:rsid w:val="00B0370D"/>
    <w:rsid w:val="00B039A7"/>
    <w:rsid w:val="00B042B1"/>
    <w:rsid w:val="00B0471E"/>
    <w:rsid w:val="00B05A80"/>
    <w:rsid w:val="00B05AFA"/>
    <w:rsid w:val="00B05E97"/>
    <w:rsid w:val="00B060CB"/>
    <w:rsid w:val="00B061AC"/>
    <w:rsid w:val="00B062D6"/>
    <w:rsid w:val="00B063DF"/>
    <w:rsid w:val="00B06503"/>
    <w:rsid w:val="00B067E4"/>
    <w:rsid w:val="00B071B2"/>
    <w:rsid w:val="00B0733C"/>
    <w:rsid w:val="00B07CD3"/>
    <w:rsid w:val="00B10A9D"/>
    <w:rsid w:val="00B11272"/>
    <w:rsid w:val="00B11B09"/>
    <w:rsid w:val="00B11FB3"/>
    <w:rsid w:val="00B121DD"/>
    <w:rsid w:val="00B12954"/>
    <w:rsid w:val="00B12C8F"/>
    <w:rsid w:val="00B12D04"/>
    <w:rsid w:val="00B1303E"/>
    <w:rsid w:val="00B1362B"/>
    <w:rsid w:val="00B141F8"/>
    <w:rsid w:val="00B14600"/>
    <w:rsid w:val="00B14776"/>
    <w:rsid w:val="00B15EC2"/>
    <w:rsid w:val="00B160D9"/>
    <w:rsid w:val="00B16765"/>
    <w:rsid w:val="00B1677B"/>
    <w:rsid w:val="00B16EAB"/>
    <w:rsid w:val="00B17DE5"/>
    <w:rsid w:val="00B201E8"/>
    <w:rsid w:val="00B20EF6"/>
    <w:rsid w:val="00B21C60"/>
    <w:rsid w:val="00B21E41"/>
    <w:rsid w:val="00B22562"/>
    <w:rsid w:val="00B22992"/>
    <w:rsid w:val="00B23652"/>
    <w:rsid w:val="00B2431A"/>
    <w:rsid w:val="00B246F2"/>
    <w:rsid w:val="00B2482C"/>
    <w:rsid w:val="00B249DA"/>
    <w:rsid w:val="00B24B53"/>
    <w:rsid w:val="00B2619F"/>
    <w:rsid w:val="00B261B0"/>
    <w:rsid w:val="00B26A2A"/>
    <w:rsid w:val="00B26AD1"/>
    <w:rsid w:val="00B26C20"/>
    <w:rsid w:val="00B27EC3"/>
    <w:rsid w:val="00B30515"/>
    <w:rsid w:val="00B30562"/>
    <w:rsid w:val="00B30630"/>
    <w:rsid w:val="00B30711"/>
    <w:rsid w:val="00B30EEE"/>
    <w:rsid w:val="00B313E5"/>
    <w:rsid w:val="00B3141E"/>
    <w:rsid w:val="00B320FE"/>
    <w:rsid w:val="00B3262C"/>
    <w:rsid w:val="00B32810"/>
    <w:rsid w:val="00B32B95"/>
    <w:rsid w:val="00B32D1C"/>
    <w:rsid w:val="00B33101"/>
    <w:rsid w:val="00B331DD"/>
    <w:rsid w:val="00B332DA"/>
    <w:rsid w:val="00B33800"/>
    <w:rsid w:val="00B34753"/>
    <w:rsid w:val="00B34BB8"/>
    <w:rsid w:val="00B34CE0"/>
    <w:rsid w:val="00B35274"/>
    <w:rsid w:val="00B358EC"/>
    <w:rsid w:val="00B35A59"/>
    <w:rsid w:val="00B35A95"/>
    <w:rsid w:val="00B35B5D"/>
    <w:rsid w:val="00B35F8E"/>
    <w:rsid w:val="00B36040"/>
    <w:rsid w:val="00B36703"/>
    <w:rsid w:val="00B36A13"/>
    <w:rsid w:val="00B370A8"/>
    <w:rsid w:val="00B371AF"/>
    <w:rsid w:val="00B374B9"/>
    <w:rsid w:val="00B3763B"/>
    <w:rsid w:val="00B40178"/>
    <w:rsid w:val="00B403F8"/>
    <w:rsid w:val="00B40525"/>
    <w:rsid w:val="00B406BF"/>
    <w:rsid w:val="00B4077C"/>
    <w:rsid w:val="00B40B54"/>
    <w:rsid w:val="00B40F9F"/>
    <w:rsid w:val="00B40FF1"/>
    <w:rsid w:val="00B41202"/>
    <w:rsid w:val="00B41D8C"/>
    <w:rsid w:val="00B42055"/>
    <w:rsid w:val="00B4234B"/>
    <w:rsid w:val="00B429D1"/>
    <w:rsid w:val="00B42FC2"/>
    <w:rsid w:val="00B43119"/>
    <w:rsid w:val="00B43177"/>
    <w:rsid w:val="00B43F1C"/>
    <w:rsid w:val="00B44145"/>
    <w:rsid w:val="00B44186"/>
    <w:rsid w:val="00B4429D"/>
    <w:rsid w:val="00B44CC5"/>
    <w:rsid w:val="00B45458"/>
    <w:rsid w:val="00B45473"/>
    <w:rsid w:val="00B45618"/>
    <w:rsid w:val="00B46000"/>
    <w:rsid w:val="00B47223"/>
    <w:rsid w:val="00B472C8"/>
    <w:rsid w:val="00B47302"/>
    <w:rsid w:val="00B47759"/>
    <w:rsid w:val="00B478F7"/>
    <w:rsid w:val="00B504B9"/>
    <w:rsid w:val="00B504FD"/>
    <w:rsid w:val="00B50A6F"/>
    <w:rsid w:val="00B50F15"/>
    <w:rsid w:val="00B517B5"/>
    <w:rsid w:val="00B51B3C"/>
    <w:rsid w:val="00B523B7"/>
    <w:rsid w:val="00B524FB"/>
    <w:rsid w:val="00B5299D"/>
    <w:rsid w:val="00B529AD"/>
    <w:rsid w:val="00B52A09"/>
    <w:rsid w:val="00B52F9F"/>
    <w:rsid w:val="00B538E7"/>
    <w:rsid w:val="00B53966"/>
    <w:rsid w:val="00B54023"/>
    <w:rsid w:val="00B54AF3"/>
    <w:rsid w:val="00B54B6D"/>
    <w:rsid w:val="00B5534F"/>
    <w:rsid w:val="00B5543C"/>
    <w:rsid w:val="00B55739"/>
    <w:rsid w:val="00B55884"/>
    <w:rsid w:val="00B55DF8"/>
    <w:rsid w:val="00B55F82"/>
    <w:rsid w:val="00B567AA"/>
    <w:rsid w:val="00B56A3C"/>
    <w:rsid w:val="00B56DD9"/>
    <w:rsid w:val="00B56E9D"/>
    <w:rsid w:val="00B5745D"/>
    <w:rsid w:val="00B57A1D"/>
    <w:rsid w:val="00B57E9D"/>
    <w:rsid w:val="00B601D7"/>
    <w:rsid w:val="00B60F85"/>
    <w:rsid w:val="00B61449"/>
    <w:rsid w:val="00B618C9"/>
    <w:rsid w:val="00B621F2"/>
    <w:rsid w:val="00B62545"/>
    <w:rsid w:val="00B626B1"/>
    <w:rsid w:val="00B62B3B"/>
    <w:rsid w:val="00B62B44"/>
    <w:rsid w:val="00B63316"/>
    <w:rsid w:val="00B63873"/>
    <w:rsid w:val="00B63A3F"/>
    <w:rsid w:val="00B63F82"/>
    <w:rsid w:val="00B6412F"/>
    <w:rsid w:val="00B64541"/>
    <w:rsid w:val="00B6474A"/>
    <w:rsid w:val="00B64B97"/>
    <w:rsid w:val="00B65153"/>
    <w:rsid w:val="00B65201"/>
    <w:rsid w:val="00B65323"/>
    <w:rsid w:val="00B658DC"/>
    <w:rsid w:val="00B6598F"/>
    <w:rsid w:val="00B6675A"/>
    <w:rsid w:val="00B66AF2"/>
    <w:rsid w:val="00B70123"/>
    <w:rsid w:val="00B7037A"/>
    <w:rsid w:val="00B70DDB"/>
    <w:rsid w:val="00B70F31"/>
    <w:rsid w:val="00B70FCE"/>
    <w:rsid w:val="00B71055"/>
    <w:rsid w:val="00B715B5"/>
    <w:rsid w:val="00B723A4"/>
    <w:rsid w:val="00B723F4"/>
    <w:rsid w:val="00B72B29"/>
    <w:rsid w:val="00B72BD2"/>
    <w:rsid w:val="00B7315B"/>
    <w:rsid w:val="00B7337A"/>
    <w:rsid w:val="00B7346E"/>
    <w:rsid w:val="00B73FC5"/>
    <w:rsid w:val="00B74C33"/>
    <w:rsid w:val="00B74FB1"/>
    <w:rsid w:val="00B75474"/>
    <w:rsid w:val="00B75721"/>
    <w:rsid w:val="00B759D0"/>
    <w:rsid w:val="00B75D66"/>
    <w:rsid w:val="00B761D4"/>
    <w:rsid w:val="00B76769"/>
    <w:rsid w:val="00B76E9C"/>
    <w:rsid w:val="00B773A3"/>
    <w:rsid w:val="00B80502"/>
    <w:rsid w:val="00B8064B"/>
    <w:rsid w:val="00B80BF5"/>
    <w:rsid w:val="00B80CD9"/>
    <w:rsid w:val="00B80EA2"/>
    <w:rsid w:val="00B80FCF"/>
    <w:rsid w:val="00B810DB"/>
    <w:rsid w:val="00B8175F"/>
    <w:rsid w:val="00B817C7"/>
    <w:rsid w:val="00B8195B"/>
    <w:rsid w:val="00B819DF"/>
    <w:rsid w:val="00B82138"/>
    <w:rsid w:val="00B82698"/>
    <w:rsid w:val="00B82871"/>
    <w:rsid w:val="00B82AA8"/>
    <w:rsid w:val="00B8307E"/>
    <w:rsid w:val="00B8329B"/>
    <w:rsid w:val="00B835AA"/>
    <w:rsid w:val="00B836BC"/>
    <w:rsid w:val="00B841D9"/>
    <w:rsid w:val="00B84956"/>
    <w:rsid w:val="00B84AB5"/>
    <w:rsid w:val="00B8596E"/>
    <w:rsid w:val="00B85D64"/>
    <w:rsid w:val="00B85DF5"/>
    <w:rsid w:val="00B86198"/>
    <w:rsid w:val="00B864B2"/>
    <w:rsid w:val="00B86EFC"/>
    <w:rsid w:val="00B86F2B"/>
    <w:rsid w:val="00B87403"/>
    <w:rsid w:val="00B875C5"/>
    <w:rsid w:val="00B9005B"/>
    <w:rsid w:val="00B908C1"/>
    <w:rsid w:val="00B9175F"/>
    <w:rsid w:val="00B91A71"/>
    <w:rsid w:val="00B91CD9"/>
    <w:rsid w:val="00B927F3"/>
    <w:rsid w:val="00B92C3A"/>
    <w:rsid w:val="00B92CBD"/>
    <w:rsid w:val="00B935D5"/>
    <w:rsid w:val="00B937B3"/>
    <w:rsid w:val="00B937E0"/>
    <w:rsid w:val="00B93839"/>
    <w:rsid w:val="00B942FE"/>
    <w:rsid w:val="00B94956"/>
    <w:rsid w:val="00B94B21"/>
    <w:rsid w:val="00B9535F"/>
    <w:rsid w:val="00B954D7"/>
    <w:rsid w:val="00B9564C"/>
    <w:rsid w:val="00B95678"/>
    <w:rsid w:val="00B95854"/>
    <w:rsid w:val="00B95A0C"/>
    <w:rsid w:val="00B96345"/>
    <w:rsid w:val="00B96B77"/>
    <w:rsid w:val="00B96BD6"/>
    <w:rsid w:val="00B96CF0"/>
    <w:rsid w:val="00B974DA"/>
    <w:rsid w:val="00B97BFD"/>
    <w:rsid w:val="00BA0CF8"/>
    <w:rsid w:val="00BA0F9E"/>
    <w:rsid w:val="00BA10B7"/>
    <w:rsid w:val="00BA10ED"/>
    <w:rsid w:val="00BA17EF"/>
    <w:rsid w:val="00BA1DB5"/>
    <w:rsid w:val="00BA1EF3"/>
    <w:rsid w:val="00BA2404"/>
    <w:rsid w:val="00BA2A8F"/>
    <w:rsid w:val="00BA2F0F"/>
    <w:rsid w:val="00BA31D9"/>
    <w:rsid w:val="00BA45D9"/>
    <w:rsid w:val="00BA4D2B"/>
    <w:rsid w:val="00BA592E"/>
    <w:rsid w:val="00BA5AA2"/>
    <w:rsid w:val="00BA635C"/>
    <w:rsid w:val="00BA6893"/>
    <w:rsid w:val="00BA68E7"/>
    <w:rsid w:val="00BA73AE"/>
    <w:rsid w:val="00BA7AC2"/>
    <w:rsid w:val="00BB0129"/>
    <w:rsid w:val="00BB01D0"/>
    <w:rsid w:val="00BB03D1"/>
    <w:rsid w:val="00BB0A14"/>
    <w:rsid w:val="00BB0DEE"/>
    <w:rsid w:val="00BB1491"/>
    <w:rsid w:val="00BB1C2A"/>
    <w:rsid w:val="00BB1F76"/>
    <w:rsid w:val="00BB2349"/>
    <w:rsid w:val="00BB2540"/>
    <w:rsid w:val="00BB29B1"/>
    <w:rsid w:val="00BB2D07"/>
    <w:rsid w:val="00BB3007"/>
    <w:rsid w:val="00BB30C9"/>
    <w:rsid w:val="00BB31AF"/>
    <w:rsid w:val="00BB3A24"/>
    <w:rsid w:val="00BB3B1D"/>
    <w:rsid w:val="00BB3F47"/>
    <w:rsid w:val="00BB4448"/>
    <w:rsid w:val="00BB468E"/>
    <w:rsid w:val="00BB4DFB"/>
    <w:rsid w:val="00BB580C"/>
    <w:rsid w:val="00BB64B7"/>
    <w:rsid w:val="00BB7A43"/>
    <w:rsid w:val="00BB7E46"/>
    <w:rsid w:val="00BB7EC3"/>
    <w:rsid w:val="00BC01B4"/>
    <w:rsid w:val="00BC021B"/>
    <w:rsid w:val="00BC0221"/>
    <w:rsid w:val="00BC03B7"/>
    <w:rsid w:val="00BC07CA"/>
    <w:rsid w:val="00BC0A67"/>
    <w:rsid w:val="00BC0FE6"/>
    <w:rsid w:val="00BC21D2"/>
    <w:rsid w:val="00BC23EC"/>
    <w:rsid w:val="00BC284B"/>
    <w:rsid w:val="00BC2870"/>
    <w:rsid w:val="00BC2C5C"/>
    <w:rsid w:val="00BC2D58"/>
    <w:rsid w:val="00BC311A"/>
    <w:rsid w:val="00BC31C4"/>
    <w:rsid w:val="00BC3350"/>
    <w:rsid w:val="00BC3840"/>
    <w:rsid w:val="00BC467F"/>
    <w:rsid w:val="00BC48CB"/>
    <w:rsid w:val="00BC4AD6"/>
    <w:rsid w:val="00BC4C51"/>
    <w:rsid w:val="00BC4C84"/>
    <w:rsid w:val="00BC54EB"/>
    <w:rsid w:val="00BC6166"/>
    <w:rsid w:val="00BC61B8"/>
    <w:rsid w:val="00BC641F"/>
    <w:rsid w:val="00BC64FA"/>
    <w:rsid w:val="00BC71BB"/>
    <w:rsid w:val="00BC73DA"/>
    <w:rsid w:val="00BC7D94"/>
    <w:rsid w:val="00BD0AB2"/>
    <w:rsid w:val="00BD0EEE"/>
    <w:rsid w:val="00BD105A"/>
    <w:rsid w:val="00BD112B"/>
    <w:rsid w:val="00BD13B9"/>
    <w:rsid w:val="00BD189A"/>
    <w:rsid w:val="00BD1905"/>
    <w:rsid w:val="00BD2200"/>
    <w:rsid w:val="00BD24C1"/>
    <w:rsid w:val="00BD27D0"/>
    <w:rsid w:val="00BD2AE1"/>
    <w:rsid w:val="00BD3288"/>
    <w:rsid w:val="00BD3724"/>
    <w:rsid w:val="00BD3C21"/>
    <w:rsid w:val="00BD43F9"/>
    <w:rsid w:val="00BD4415"/>
    <w:rsid w:val="00BD44CA"/>
    <w:rsid w:val="00BD50E4"/>
    <w:rsid w:val="00BD5171"/>
    <w:rsid w:val="00BD57D6"/>
    <w:rsid w:val="00BD5828"/>
    <w:rsid w:val="00BD603E"/>
    <w:rsid w:val="00BD67F8"/>
    <w:rsid w:val="00BD6B1B"/>
    <w:rsid w:val="00BD6C8B"/>
    <w:rsid w:val="00BD7CE3"/>
    <w:rsid w:val="00BD7F73"/>
    <w:rsid w:val="00BE002C"/>
    <w:rsid w:val="00BE0214"/>
    <w:rsid w:val="00BE0390"/>
    <w:rsid w:val="00BE0B55"/>
    <w:rsid w:val="00BE0D6B"/>
    <w:rsid w:val="00BE1006"/>
    <w:rsid w:val="00BE10C4"/>
    <w:rsid w:val="00BE1ABD"/>
    <w:rsid w:val="00BE1CFE"/>
    <w:rsid w:val="00BE26AE"/>
    <w:rsid w:val="00BE2E8B"/>
    <w:rsid w:val="00BE452E"/>
    <w:rsid w:val="00BE5325"/>
    <w:rsid w:val="00BE544F"/>
    <w:rsid w:val="00BE5835"/>
    <w:rsid w:val="00BE5BB4"/>
    <w:rsid w:val="00BE66E5"/>
    <w:rsid w:val="00BE67C9"/>
    <w:rsid w:val="00BE67D0"/>
    <w:rsid w:val="00BE693D"/>
    <w:rsid w:val="00BE6A51"/>
    <w:rsid w:val="00BE6D5F"/>
    <w:rsid w:val="00BE6F74"/>
    <w:rsid w:val="00BE7D5D"/>
    <w:rsid w:val="00BF07D6"/>
    <w:rsid w:val="00BF1800"/>
    <w:rsid w:val="00BF21B7"/>
    <w:rsid w:val="00BF2B1B"/>
    <w:rsid w:val="00BF371D"/>
    <w:rsid w:val="00BF3F99"/>
    <w:rsid w:val="00BF3FD7"/>
    <w:rsid w:val="00BF52CF"/>
    <w:rsid w:val="00BF5696"/>
    <w:rsid w:val="00BF5BA0"/>
    <w:rsid w:val="00BF601B"/>
    <w:rsid w:val="00BF618B"/>
    <w:rsid w:val="00BF6682"/>
    <w:rsid w:val="00BF685A"/>
    <w:rsid w:val="00BF75A9"/>
    <w:rsid w:val="00C00174"/>
    <w:rsid w:val="00C00904"/>
    <w:rsid w:val="00C028CB"/>
    <w:rsid w:val="00C03C03"/>
    <w:rsid w:val="00C04721"/>
    <w:rsid w:val="00C0483B"/>
    <w:rsid w:val="00C0486E"/>
    <w:rsid w:val="00C04F8F"/>
    <w:rsid w:val="00C04FF3"/>
    <w:rsid w:val="00C055D7"/>
    <w:rsid w:val="00C05FEA"/>
    <w:rsid w:val="00C06641"/>
    <w:rsid w:val="00C069B3"/>
    <w:rsid w:val="00C06B8F"/>
    <w:rsid w:val="00C07018"/>
    <w:rsid w:val="00C07986"/>
    <w:rsid w:val="00C07E06"/>
    <w:rsid w:val="00C10020"/>
    <w:rsid w:val="00C10233"/>
    <w:rsid w:val="00C103B7"/>
    <w:rsid w:val="00C10454"/>
    <w:rsid w:val="00C11D20"/>
    <w:rsid w:val="00C127C3"/>
    <w:rsid w:val="00C127E9"/>
    <w:rsid w:val="00C13251"/>
    <w:rsid w:val="00C1457B"/>
    <w:rsid w:val="00C14BD5"/>
    <w:rsid w:val="00C1529E"/>
    <w:rsid w:val="00C152AC"/>
    <w:rsid w:val="00C154B9"/>
    <w:rsid w:val="00C16502"/>
    <w:rsid w:val="00C1670F"/>
    <w:rsid w:val="00C17195"/>
    <w:rsid w:val="00C176AF"/>
    <w:rsid w:val="00C17776"/>
    <w:rsid w:val="00C20552"/>
    <w:rsid w:val="00C20659"/>
    <w:rsid w:val="00C20ED6"/>
    <w:rsid w:val="00C2141C"/>
    <w:rsid w:val="00C21A74"/>
    <w:rsid w:val="00C21D5A"/>
    <w:rsid w:val="00C21EED"/>
    <w:rsid w:val="00C21FBD"/>
    <w:rsid w:val="00C22844"/>
    <w:rsid w:val="00C22EDB"/>
    <w:rsid w:val="00C23942"/>
    <w:rsid w:val="00C23ADB"/>
    <w:rsid w:val="00C23DA1"/>
    <w:rsid w:val="00C23E2A"/>
    <w:rsid w:val="00C260A1"/>
    <w:rsid w:val="00C2619A"/>
    <w:rsid w:val="00C26438"/>
    <w:rsid w:val="00C2656E"/>
    <w:rsid w:val="00C27948"/>
    <w:rsid w:val="00C27CEC"/>
    <w:rsid w:val="00C27F1F"/>
    <w:rsid w:val="00C307C3"/>
    <w:rsid w:val="00C30A51"/>
    <w:rsid w:val="00C3128C"/>
    <w:rsid w:val="00C316F0"/>
    <w:rsid w:val="00C31914"/>
    <w:rsid w:val="00C320B6"/>
    <w:rsid w:val="00C32BAB"/>
    <w:rsid w:val="00C33A28"/>
    <w:rsid w:val="00C33DA3"/>
    <w:rsid w:val="00C33DB5"/>
    <w:rsid w:val="00C34989"/>
    <w:rsid w:val="00C34DC7"/>
    <w:rsid w:val="00C3550C"/>
    <w:rsid w:val="00C35848"/>
    <w:rsid w:val="00C35F8B"/>
    <w:rsid w:val="00C360C5"/>
    <w:rsid w:val="00C3629A"/>
    <w:rsid w:val="00C36394"/>
    <w:rsid w:val="00C36570"/>
    <w:rsid w:val="00C365AA"/>
    <w:rsid w:val="00C3666F"/>
    <w:rsid w:val="00C3673F"/>
    <w:rsid w:val="00C36BE2"/>
    <w:rsid w:val="00C36CF3"/>
    <w:rsid w:val="00C36E91"/>
    <w:rsid w:val="00C37D4F"/>
    <w:rsid w:val="00C40E2E"/>
    <w:rsid w:val="00C428D2"/>
    <w:rsid w:val="00C42EE3"/>
    <w:rsid w:val="00C43204"/>
    <w:rsid w:val="00C439D4"/>
    <w:rsid w:val="00C44329"/>
    <w:rsid w:val="00C45CB6"/>
    <w:rsid w:val="00C45F4D"/>
    <w:rsid w:val="00C46DA9"/>
    <w:rsid w:val="00C47193"/>
    <w:rsid w:val="00C47539"/>
    <w:rsid w:val="00C47FC9"/>
    <w:rsid w:val="00C51102"/>
    <w:rsid w:val="00C515C3"/>
    <w:rsid w:val="00C52363"/>
    <w:rsid w:val="00C52909"/>
    <w:rsid w:val="00C5296B"/>
    <w:rsid w:val="00C52C97"/>
    <w:rsid w:val="00C52D0E"/>
    <w:rsid w:val="00C52D9B"/>
    <w:rsid w:val="00C52DEC"/>
    <w:rsid w:val="00C52E2B"/>
    <w:rsid w:val="00C52E3D"/>
    <w:rsid w:val="00C53310"/>
    <w:rsid w:val="00C539B3"/>
    <w:rsid w:val="00C53AB9"/>
    <w:rsid w:val="00C54638"/>
    <w:rsid w:val="00C5463D"/>
    <w:rsid w:val="00C54AE0"/>
    <w:rsid w:val="00C54BAA"/>
    <w:rsid w:val="00C54EC3"/>
    <w:rsid w:val="00C55394"/>
    <w:rsid w:val="00C553BF"/>
    <w:rsid w:val="00C55456"/>
    <w:rsid w:val="00C554DE"/>
    <w:rsid w:val="00C55BA8"/>
    <w:rsid w:val="00C55DCE"/>
    <w:rsid w:val="00C56769"/>
    <w:rsid w:val="00C56E87"/>
    <w:rsid w:val="00C56FB1"/>
    <w:rsid w:val="00C57490"/>
    <w:rsid w:val="00C57C14"/>
    <w:rsid w:val="00C57F2D"/>
    <w:rsid w:val="00C60824"/>
    <w:rsid w:val="00C60CD1"/>
    <w:rsid w:val="00C61219"/>
    <w:rsid w:val="00C612D0"/>
    <w:rsid w:val="00C613D0"/>
    <w:rsid w:val="00C6284A"/>
    <w:rsid w:val="00C62C2E"/>
    <w:rsid w:val="00C62EF8"/>
    <w:rsid w:val="00C63262"/>
    <w:rsid w:val="00C634CE"/>
    <w:rsid w:val="00C642FD"/>
    <w:rsid w:val="00C6458A"/>
    <w:rsid w:val="00C64FF9"/>
    <w:rsid w:val="00C65229"/>
    <w:rsid w:val="00C652C6"/>
    <w:rsid w:val="00C652E2"/>
    <w:rsid w:val="00C6544D"/>
    <w:rsid w:val="00C655B6"/>
    <w:rsid w:val="00C65D3C"/>
    <w:rsid w:val="00C66120"/>
    <w:rsid w:val="00C669F5"/>
    <w:rsid w:val="00C6724D"/>
    <w:rsid w:val="00C67389"/>
    <w:rsid w:val="00C6761E"/>
    <w:rsid w:val="00C677A8"/>
    <w:rsid w:val="00C703B4"/>
    <w:rsid w:val="00C70E9E"/>
    <w:rsid w:val="00C713AF"/>
    <w:rsid w:val="00C71A14"/>
    <w:rsid w:val="00C71F43"/>
    <w:rsid w:val="00C727D0"/>
    <w:rsid w:val="00C72B5A"/>
    <w:rsid w:val="00C73568"/>
    <w:rsid w:val="00C735AB"/>
    <w:rsid w:val="00C739B1"/>
    <w:rsid w:val="00C739D4"/>
    <w:rsid w:val="00C74243"/>
    <w:rsid w:val="00C74AD3"/>
    <w:rsid w:val="00C74D28"/>
    <w:rsid w:val="00C75FA8"/>
    <w:rsid w:val="00C76A2B"/>
    <w:rsid w:val="00C77213"/>
    <w:rsid w:val="00C7726E"/>
    <w:rsid w:val="00C77AFF"/>
    <w:rsid w:val="00C77BA6"/>
    <w:rsid w:val="00C77BE0"/>
    <w:rsid w:val="00C8002F"/>
    <w:rsid w:val="00C8004A"/>
    <w:rsid w:val="00C8053A"/>
    <w:rsid w:val="00C8085E"/>
    <w:rsid w:val="00C80D0C"/>
    <w:rsid w:val="00C8137A"/>
    <w:rsid w:val="00C818AE"/>
    <w:rsid w:val="00C8305D"/>
    <w:rsid w:val="00C83681"/>
    <w:rsid w:val="00C83BF0"/>
    <w:rsid w:val="00C8400D"/>
    <w:rsid w:val="00C84438"/>
    <w:rsid w:val="00C847AF"/>
    <w:rsid w:val="00C84813"/>
    <w:rsid w:val="00C85381"/>
    <w:rsid w:val="00C858FF"/>
    <w:rsid w:val="00C859E3"/>
    <w:rsid w:val="00C85FA5"/>
    <w:rsid w:val="00C86789"/>
    <w:rsid w:val="00C86AE4"/>
    <w:rsid w:val="00C90C26"/>
    <w:rsid w:val="00C910E2"/>
    <w:rsid w:val="00C91685"/>
    <w:rsid w:val="00C927BE"/>
    <w:rsid w:val="00C9343F"/>
    <w:rsid w:val="00C94D5A"/>
    <w:rsid w:val="00C95832"/>
    <w:rsid w:val="00C959AD"/>
    <w:rsid w:val="00C964C6"/>
    <w:rsid w:val="00C96823"/>
    <w:rsid w:val="00C96B37"/>
    <w:rsid w:val="00C97669"/>
    <w:rsid w:val="00C97927"/>
    <w:rsid w:val="00C97AD1"/>
    <w:rsid w:val="00C97B8F"/>
    <w:rsid w:val="00C97E52"/>
    <w:rsid w:val="00CA03E6"/>
    <w:rsid w:val="00CA06AA"/>
    <w:rsid w:val="00CA0B10"/>
    <w:rsid w:val="00CA0E03"/>
    <w:rsid w:val="00CA1257"/>
    <w:rsid w:val="00CA1345"/>
    <w:rsid w:val="00CA15FD"/>
    <w:rsid w:val="00CA1736"/>
    <w:rsid w:val="00CA1772"/>
    <w:rsid w:val="00CA1C14"/>
    <w:rsid w:val="00CA1D29"/>
    <w:rsid w:val="00CA23F1"/>
    <w:rsid w:val="00CA2427"/>
    <w:rsid w:val="00CA2A85"/>
    <w:rsid w:val="00CA46D8"/>
    <w:rsid w:val="00CA4900"/>
    <w:rsid w:val="00CA59C9"/>
    <w:rsid w:val="00CA6181"/>
    <w:rsid w:val="00CA6BE7"/>
    <w:rsid w:val="00CA6DB4"/>
    <w:rsid w:val="00CA6EC9"/>
    <w:rsid w:val="00CA6EE3"/>
    <w:rsid w:val="00CA74AE"/>
    <w:rsid w:val="00CA7B4D"/>
    <w:rsid w:val="00CB0735"/>
    <w:rsid w:val="00CB0DDE"/>
    <w:rsid w:val="00CB12E6"/>
    <w:rsid w:val="00CB1741"/>
    <w:rsid w:val="00CB20B6"/>
    <w:rsid w:val="00CB2192"/>
    <w:rsid w:val="00CB21BB"/>
    <w:rsid w:val="00CB2676"/>
    <w:rsid w:val="00CB26C3"/>
    <w:rsid w:val="00CB2AF9"/>
    <w:rsid w:val="00CB2D76"/>
    <w:rsid w:val="00CB382D"/>
    <w:rsid w:val="00CB38D7"/>
    <w:rsid w:val="00CB3D4D"/>
    <w:rsid w:val="00CB430D"/>
    <w:rsid w:val="00CB4CD4"/>
    <w:rsid w:val="00CB4F07"/>
    <w:rsid w:val="00CB677C"/>
    <w:rsid w:val="00CB749C"/>
    <w:rsid w:val="00CC0087"/>
    <w:rsid w:val="00CC1873"/>
    <w:rsid w:val="00CC1D40"/>
    <w:rsid w:val="00CC2687"/>
    <w:rsid w:val="00CC2BF8"/>
    <w:rsid w:val="00CC312B"/>
    <w:rsid w:val="00CC3494"/>
    <w:rsid w:val="00CC3692"/>
    <w:rsid w:val="00CC3FB1"/>
    <w:rsid w:val="00CC41C6"/>
    <w:rsid w:val="00CC4AFB"/>
    <w:rsid w:val="00CC4DD8"/>
    <w:rsid w:val="00CC5513"/>
    <w:rsid w:val="00CC63DB"/>
    <w:rsid w:val="00CC675F"/>
    <w:rsid w:val="00CC6996"/>
    <w:rsid w:val="00CC6D2F"/>
    <w:rsid w:val="00CC75A6"/>
    <w:rsid w:val="00CD00AE"/>
    <w:rsid w:val="00CD023F"/>
    <w:rsid w:val="00CD06C7"/>
    <w:rsid w:val="00CD0D7B"/>
    <w:rsid w:val="00CD1DC0"/>
    <w:rsid w:val="00CD2460"/>
    <w:rsid w:val="00CD33CC"/>
    <w:rsid w:val="00CD37BA"/>
    <w:rsid w:val="00CD4DA8"/>
    <w:rsid w:val="00CD50AC"/>
    <w:rsid w:val="00CD57C3"/>
    <w:rsid w:val="00CD5BC5"/>
    <w:rsid w:val="00CD6420"/>
    <w:rsid w:val="00CD6533"/>
    <w:rsid w:val="00CD69F0"/>
    <w:rsid w:val="00CD6B6C"/>
    <w:rsid w:val="00CD6BF7"/>
    <w:rsid w:val="00CD6D66"/>
    <w:rsid w:val="00CD76F7"/>
    <w:rsid w:val="00CD7857"/>
    <w:rsid w:val="00CE0CC9"/>
    <w:rsid w:val="00CE18CE"/>
    <w:rsid w:val="00CE1EC4"/>
    <w:rsid w:val="00CE201C"/>
    <w:rsid w:val="00CE210D"/>
    <w:rsid w:val="00CE26CB"/>
    <w:rsid w:val="00CE26F0"/>
    <w:rsid w:val="00CE281E"/>
    <w:rsid w:val="00CE2F38"/>
    <w:rsid w:val="00CE32D8"/>
    <w:rsid w:val="00CE3677"/>
    <w:rsid w:val="00CE3ADC"/>
    <w:rsid w:val="00CE3C54"/>
    <w:rsid w:val="00CE40F1"/>
    <w:rsid w:val="00CE44DB"/>
    <w:rsid w:val="00CE4706"/>
    <w:rsid w:val="00CE4B95"/>
    <w:rsid w:val="00CE51D5"/>
    <w:rsid w:val="00CE54D6"/>
    <w:rsid w:val="00CE5AE0"/>
    <w:rsid w:val="00CE5AEF"/>
    <w:rsid w:val="00CE6305"/>
    <w:rsid w:val="00CE644D"/>
    <w:rsid w:val="00CE69A4"/>
    <w:rsid w:val="00CE724B"/>
    <w:rsid w:val="00CE7272"/>
    <w:rsid w:val="00CE75B2"/>
    <w:rsid w:val="00CE7C99"/>
    <w:rsid w:val="00CE7E89"/>
    <w:rsid w:val="00CF0428"/>
    <w:rsid w:val="00CF0CCB"/>
    <w:rsid w:val="00CF1135"/>
    <w:rsid w:val="00CF1ADB"/>
    <w:rsid w:val="00CF1EE2"/>
    <w:rsid w:val="00CF22A3"/>
    <w:rsid w:val="00CF28EE"/>
    <w:rsid w:val="00CF2A4A"/>
    <w:rsid w:val="00CF2D3E"/>
    <w:rsid w:val="00CF3708"/>
    <w:rsid w:val="00CF3C0B"/>
    <w:rsid w:val="00CF3F67"/>
    <w:rsid w:val="00CF4007"/>
    <w:rsid w:val="00CF4AFF"/>
    <w:rsid w:val="00CF4B0E"/>
    <w:rsid w:val="00CF5041"/>
    <w:rsid w:val="00CF52A5"/>
    <w:rsid w:val="00CF6689"/>
    <w:rsid w:val="00CF6E82"/>
    <w:rsid w:val="00CF729D"/>
    <w:rsid w:val="00CF75B2"/>
    <w:rsid w:val="00CF7667"/>
    <w:rsid w:val="00CF7E25"/>
    <w:rsid w:val="00D000AF"/>
    <w:rsid w:val="00D003E8"/>
    <w:rsid w:val="00D00A68"/>
    <w:rsid w:val="00D00AC9"/>
    <w:rsid w:val="00D00AFD"/>
    <w:rsid w:val="00D02868"/>
    <w:rsid w:val="00D02F9F"/>
    <w:rsid w:val="00D03333"/>
    <w:rsid w:val="00D038E0"/>
    <w:rsid w:val="00D042EB"/>
    <w:rsid w:val="00D045BF"/>
    <w:rsid w:val="00D045E3"/>
    <w:rsid w:val="00D049D8"/>
    <w:rsid w:val="00D0525B"/>
    <w:rsid w:val="00D0561B"/>
    <w:rsid w:val="00D05B4F"/>
    <w:rsid w:val="00D05C1F"/>
    <w:rsid w:val="00D06C10"/>
    <w:rsid w:val="00D06CC6"/>
    <w:rsid w:val="00D071FF"/>
    <w:rsid w:val="00D0766A"/>
    <w:rsid w:val="00D07CD5"/>
    <w:rsid w:val="00D10FA2"/>
    <w:rsid w:val="00D113E7"/>
    <w:rsid w:val="00D1249E"/>
    <w:rsid w:val="00D1284A"/>
    <w:rsid w:val="00D13176"/>
    <w:rsid w:val="00D13CCE"/>
    <w:rsid w:val="00D13D94"/>
    <w:rsid w:val="00D148DD"/>
    <w:rsid w:val="00D14C8D"/>
    <w:rsid w:val="00D15053"/>
    <w:rsid w:val="00D15265"/>
    <w:rsid w:val="00D154E8"/>
    <w:rsid w:val="00D1559D"/>
    <w:rsid w:val="00D156CA"/>
    <w:rsid w:val="00D16466"/>
    <w:rsid w:val="00D16960"/>
    <w:rsid w:val="00D16EEB"/>
    <w:rsid w:val="00D17010"/>
    <w:rsid w:val="00D174BD"/>
    <w:rsid w:val="00D174F8"/>
    <w:rsid w:val="00D178A3"/>
    <w:rsid w:val="00D17B84"/>
    <w:rsid w:val="00D17E45"/>
    <w:rsid w:val="00D20471"/>
    <w:rsid w:val="00D226F9"/>
    <w:rsid w:val="00D22EBA"/>
    <w:rsid w:val="00D22EDA"/>
    <w:rsid w:val="00D22F37"/>
    <w:rsid w:val="00D234DF"/>
    <w:rsid w:val="00D237C9"/>
    <w:rsid w:val="00D25A73"/>
    <w:rsid w:val="00D25D23"/>
    <w:rsid w:val="00D2604E"/>
    <w:rsid w:val="00D26223"/>
    <w:rsid w:val="00D2632D"/>
    <w:rsid w:val="00D27292"/>
    <w:rsid w:val="00D2745C"/>
    <w:rsid w:val="00D27AA2"/>
    <w:rsid w:val="00D27CA5"/>
    <w:rsid w:val="00D30A53"/>
    <w:rsid w:val="00D31577"/>
    <w:rsid w:val="00D3169C"/>
    <w:rsid w:val="00D31B35"/>
    <w:rsid w:val="00D32AD1"/>
    <w:rsid w:val="00D3311D"/>
    <w:rsid w:val="00D33163"/>
    <w:rsid w:val="00D335F5"/>
    <w:rsid w:val="00D3373F"/>
    <w:rsid w:val="00D33B7C"/>
    <w:rsid w:val="00D33FA3"/>
    <w:rsid w:val="00D341E0"/>
    <w:rsid w:val="00D3476A"/>
    <w:rsid w:val="00D34D0A"/>
    <w:rsid w:val="00D35318"/>
    <w:rsid w:val="00D35AD7"/>
    <w:rsid w:val="00D35DB4"/>
    <w:rsid w:val="00D3606B"/>
    <w:rsid w:val="00D36A05"/>
    <w:rsid w:val="00D36B38"/>
    <w:rsid w:val="00D36FA2"/>
    <w:rsid w:val="00D36FD8"/>
    <w:rsid w:val="00D37DCF"/>
    <w:rsid w:val="00D40410"/>
    <w:rsid w:val="00D40802"/>
    <w:rsid w:val="00D42522"/>
    <w:rsid w:val="00D42913"/>
    <w:rsid w:val="00D44226"/>
    <w:rsid w:val="00D45473"/>
    <w:rsid w:val="00D45546"/>
    <w:rsid w:val="00D4591F"/>
    <w:rsid w:val="00D47209"/>
    <w:rsid w:val="00D475E8"/>
    <w:rsid w:val="00D47A77"/>
    <w:rsid w:val="00D47EE5"/>
    <w:rsid w:val="00D47F8F"/>
    <w:rsid w:val="00D506C8"/>
    <w:rsid w:val="00D507E5"/>
    <w:rsid w:val="00D51933"/>
    <w:rsid w:val="00D51B72"/>
    <w:rsid w:val="00D51EAF"/>
    <w:rsid w:val="00D52498"/>
    <w:rsid w:val="00D52B2B"/>
    <w:rsid w:val="00D53030"/>
    <w:rsid w:val="00D53C19"/>
    <w:rsid w:val="00D53C37"/>
    <w:rsid w:val="00D54115"/>
    <w:rsid w:val="00D54222"/>
    <w:rsid w:val="00D547E8"/>
    <w:rsid w:val="00D55027"/>
    <w:rsid w:val="00D5571F"/>
    <w:rsid w:val="00D55BB8"/>
    <w:rsid w:val="00D56166"/>
    <w:rsid w:val="00D5618D"/>
    <w:rsid w:val="00D56D0A"/>
    <w:rsid w:val="00D570DB"/>
    <w:rsid w:val="00D574B0"/>
    <w:rsid w:val="00D57C22"/>
    <w:rsid w:val="00D606FB"/>
    <w:rsid w:val="00D60A1C"/>
    <w:rsid w:val="00D61094"/>
    <w:rsid w:val="00D628F1"/>
    <w:rsid w:val="00D63169"/>
    <w:rsid w:val="00D633BD"/>
    <w:rsid w:val="00D633C5"/>
    <w:rsid w:val="00D63595"/>
    <w:rsid w:val="00D6420A"/>
    <w:rsid w:val="00D646D7"/>
    <w:rsid w:val="00D6525A"/>
    <w:rsid w:val="00D654BB"/>
    <w:rsid w:val="00D66169"/>
    <w:rsid w:val="00D66933"/>
    <w:rsid w:val="00D66DC8"/>
    <w:rsid w:val="00D67324"/>
    <w:rsid w:val="00D67345"/>
    <w:rsid w:val="00D67ADC"/>
    <w:rsid w:val="00D67B90"/>
    <w:rsid w:val="00D67D23"/>
    <w:rsid w:val="00D67F21"/>
    <w:rsid w:val="00D67F4B"/>
    <w:rsid w:val="00D7073C"/>
    <w:rsid w:val="00D709DE"/>
    <w:rsid w:val="00D711A6"/>
    <w:rsid w:val="00D71860"/>
    <w:rsid w:val="00D721AB"/>
    <w:rsid w:val="00D727C8"/>
    <w:rsid w:val="00D731FA"/>
    <w:rsid w:val="00D7376F"/>
    <w:rsid w:val="00D73ED0"/>
    <w:rsid w:val="00D747B6"/>
    <w:rsid w:val="00D748EB"/>
    <w:rsid w:val="00D74983"/>
    <w:rsid w:val="00D7502D"/>
    <w:rsid w:val="00D75BF8"/>
    <w:rsid w:val="00D75E2F"/>
    <w:rsid w:val="00D766D7"/>
    <w:rsid w:val="00D76732"/>
    <w:rsid w:val="00D76823"/>
    <w:rsid w:val="00D7793F"/>
    <w:rsid w:val="00D77CCB"/>
    <w:rsid w:val="00D8041B"/>
    <w:rsid w:val="00D8062D"/>
    <w:rsid w:val="00D808CF"/>
    <w:rsid w:val="00D80B02"/>
    <w:rsid w:val="00D80D80"/>
    <w:rsid w:val="00D814CF"/>
    <w:rsid w:val="00D81850"/>
    <w:rsid w:val="00D81D43"/>
    <w:rsid w:val="00D82F61"/>
    <w:rsid w:val="00D82F93"/>
    <w:rsid w:val="00D8388D"/>
    <w:rsid w:val="00D83C99"/>
    <w:rsid w:val="00D83F8F"/>
    <w:rsid w:val="00D840AE"/>
    <w:rsid w:val="00D8415D"/>
    <w:rsid w:val="00D846DF"/>
    <w:rsid w:val="00D85050"/>
    <w:rsid w:val="00D8578A"/>
    <w:rsid w:val="00D85C9C"/>
    <w:rsid w:val="00D85D9A"/>
    <w:rsid w:val="00D85F0D"/>
    <w:rsid w:val="00D86517"/>
    <w:rsid w:val="00D86AE8"/>
    <w:rsid w:val="00D86E16"/>
    <w:rsid w:val="00D87224"/>
    <w:rsid w:val="00D87504"/>
    <w:rsid w:val="00D877B8"/>
    <w:rsid w:val="00D878CC"/>
    <w:rsid w:val="00D87B7B"/>
    <w:rsid w:val="00D90270"/>
    <w:rsid w:val="00D90518"/>
    <w:rsid w:val="00D919F1"/>
    <w:rsid w:val="00D91C13"/>
    <w:rsid w:val="00D92778"/>
    <w:rsid w:val="00D93711"/>
    <w:rsid w:val="00D93E3E"/>
    <w:rsid w:val="00D94996"/>
    <w:rsid w:val="00D949C0"/>
    <w:rsid w:val="00D94B43"/>
    <w:rsid w:val="00D97122"/>
    <w:rsid w:val="00D97D47"/>
    <w:rsid w:val="00D97D88"/>
    <w:rsid w:val="00DA0394"/>
    <w:rsid w:val="00DA05B4"/>
    <w:rsid w:val="00DA1678"/>
    <w:rsid w:val="00DA1973"/>
    <w:rsid w:val="00DA1AC8"/>
    <w:rsid w:val="00DA1FF6"/>
    <w:rsid w:val="00DA27CF"/>
    <w:rsid w:val="00DA2DF8"/>
    <w:rsid w:val="00DA2E2D"/>
    <w:rsid w:val="00DA2E5A"/>
    <w:rsid w:val="00DA3451"/>
    <w:rsid w:val="00DA3C9D"/>
    <w:rsid w:val="00DA469C"/>
    <w:rsid w:val="00DA5094"/>
    <w:rsid w:val="00DA5B98"/>
    <w:rsid w:val="00DA5E2A"/>
    <w:rsid w:val="00DA5FA8"/>
    <w:rsid w:val="00DA6915"/>
    <w:rsid w:val="00DA6AAE"/>
    <w:rsid w:val="00DA70D5"/>
    <w:rsid w:val="00DA75E7"/>
    <w:rsid w:val="00DA7841"/>
    <w:rsid w:val="00DB09D8"/>
    <w:rsid w:val="00DB0AAC"/>
    <w:rsid w:val="00DB11A3"/>
    <w:rsid w:val="00DB1656"/>
    <w:rsid w:val="00DB1C83"/>
    <w:rsid w:val="00DB27FE"/>
    <w:rsid w:val="00DB287E"/>
    <w:rsid w:val="00DB2A1D"/>
    <w:rsid w:val="00DB343D"/>
    <w:rsid w:val="00DB38FA"/>
    <w:rsid w:val="00DB40E3"/>
    <w:rsid w:val="00DB475B"/>
    <w:rsid w:val="00DB4941"/>
    <w:rsid w:val="00DB5158"/>
    <w:rsid w:val="00DB53F3"/>
    <w:rsid w:val="00DB5AC1"/>
    <w:rsid w:val="00DB5D91"/>
    <w:rsid w:val="00DB6361"/>
    <w:rsid w:val="00DB6A2F"/>
    <w:rsid w:val="00DB6D10"/>
    <w:rsid w:val="00DB6D5D"/>
    <w:rsid w:val="00DB6FDF"/>
    <w:rsid w:val="00DB7316"/>
    <w:rsid w:val="00DB7327"/>
    <w:rsid w:val="00DB7A85"/>
    <w:rsid w:val="00DB7C3F"/>
    <w:rsid w:val="00DC0246"/>
    <w:rsid w:val="00DC10A4"/>
    <w:rsid w:val="00DC15E0"/>
    <w:rsid w:val="00DC1849"/>
    <w:rsid w:val="00DC2211"/>
    <w:rsid w:val="00DC2843"/>
    <w:rsid w:val="00DC37A1"/>
    <w:rsid w:val="00DC3D5E"/>
    <w:rsid w:val="00DC4894"/>
    <w:rsid w:val="00DC505A"/>
    <w:rsid w:val="00DC59D2"/>
    <w:rsid w:val="00DC5B70"/>
    <w:rsid w:val="00DC5D88"/>
    <w:rsid w:val="00DC6DEF"/>
    <w:rsid w:val="00DC7C28"/>
    <w:rsid w:val="00DD01B4"/>
    <w:rsid w:val="00DD0677"/>
    <w:rsid w:val="00DD0A27"/>
    <w:rsid w:val="00DD0CFB"/>
    <w:rsid w:val="00DD0D6F"/>
    <w:rsid w:val="00DD135F"/>
    <w:rsid w:val="00DD20B7"/>
    <w:rsid w:val="00DD2C35"/>
    <w:rsid w:val="00DD2D56"/>
    <w:rsid w:val="00DD31D4"/>
    <w:rsid w:val="00DD33C0"/>
    <w:rsid w:val="00DD3AC8"/>
    <w:rsid w:val="00DD4075"/>
    <w:rsid w:val="00DD5552"/>
    <w:rsid w:val="00DD5B09"/>
    <w:rsid w:val="00DD5E8B"/>
    <w:rsid w:val="00DD6354"/>
    <w:rsid w:val="00DD6BF1"/>
    <w:rsid w:val="00DD7145"/>
    <w:rsid w:val="00DD72C9"/>
    <w:rsid w:val="00DD735B"/>
    <w:rsid w:val="00DE069A"/>
    <w:rsid w:val="00DE0DC6"/>
    <w:rsid w:val="00DE0F3E"/>
    <w:rsid w:val="00DE1818"/>
    <w:rsid w:val="00DE18CA"/>
    <w:rsid w:val="00DE1C1F"/>
    <w:rsid w:val="00DE25E1"/>
    <w:rsid w:val="00DE2BA6"/>
    <w:rsid w:val="00DE4111"/>
    <w:rsid w:val="00DE421A"/>
    <w:rsid w:val="00DE4B84"/>
    <w:rsid w:val="00DE5FB3"/>
    <w:rsid w:val="00DE6C36"/>
    <w:rsid w:val="00DE6FD9"/>
    <w:rsid w:val="00DE7534"/>
    <w:rsid w:val="00DE7B53"/>
    <w:rsid w:val="00DF031B"/>
    <w:rsid w:val="00DF0AE5"/>
    <w:rsid w:val="00DF18AC"/>
    <w:rsid w:val="00DF18BD"/>
    <w:rsid w:val="00DF19FD"/>
    <w:rsid w:val="00DF1A85"/>
    <w:rsid w:val="00DF20B4"/>
    <w:rsid w:val="00DF22DB"/>
    <w:rsid w:val="00DF29E6"/>
    <w:rsid w:val="00DF2D67"/>
    <w:rsid w:val="00DF2DBC"/>
    <w:rsid w:val="00DF3548"/>
    <w:rsid w:val="00DF3B8A"/>
    <w:rsid w:val="00DF447F"/>
    <w:rsid w:val="00DF524D"/>
    <w:rsid w:val="00DF69B0"/>
    <w:rsid w:val="00DF70FA"/>
    <w:rsid w:val="00DF754F"/>
    <w:rsid w:val="00E0006C"/>
    <w:rsid w:val="00E00E2E"/>
    <w:rsid w:val="00E01D0C"/>
    <w:rsid w:val="00E01FE7"/>
    <w:rsid w:val="00E0354C"/>
    <w:rsid w:val="00E047FD"/>
    <w:rsid w:val="00E048EE"/>
    <w:rsid w:val="00E04B2D"/>
    <w:rsid w:val="00E05152"/>
    <w:rsid w:val="00E052BF"/>
    <w:rsid w:val="00E057ED"/>
    <w:rsid w:val="00E05A7C"/>
    <w:rsid w:val="00E05AE7"/>
    <w:rsid w:val="00E05FE0"/>
    <w:rsid w:val="00E06560"/>
    <w:rsid w:val="00E06608"/>
    <w:rsid w:val="00E067BC"/>
    <w:rsid w:val="00E07DF6"/>
    <w:rsid w:val="00E07FFE"/>
    <w:rsid w:val="00E10B02"/>
    <w:rsid w:val="00E10BB9"/>
    <w:rsid w:val="00E1149A"/>
    <w:rsid w:val="00E115DD"/>
    <w:rsid w:val="00E11B18"/>
    <w:rsid w:val="00E12138"/>
    <w:rsid w:val="00E14A04"/>
    <w:rsid w:val="00E164B0"/>
    <w:rsid w:val="00E165B3"/>
    <w:rsid w:val="00E17DF1"/>
    <w:rsid w:val="00E20D3B"/>
    <w:rsid w:val="00E20EC9"/>
    <w:rsid w:val="00E21465"/>
    <w:rsid w:val="00E21573"/>
    <w:rsid w:val="00E21C60"/>
    <w:rsid w:val="00E22048"/>
    <w:rsid w:val="00E22F07"/>
    <w:rsid w:val="00E2314C"/>
    <w:rsid w:val="00E233C8"/>
    <w:rsid w:val="00E2365D"/>
    <w:rsid w:val="00E244C5"/>
    <w:rsid w:val="00E246EB"/>
    <w:rsid w:val="00E24851"/>
    <w:rsid w:val="00E24C04"/>
    <w:rsid w:val="00E25012"/>
    <w:rsid w:val="00E25138"/>
    <w:rsid w:val="00E252C3"/>
    <w:rsid w:val="00E25631"/>
    <w:rsid w:val="00E256BF"/>
    <w:rsid w:val="00E25968"/>
    <w:rsid w:val="00E26691"/>
    <w:rsid w:val="00E26F70"/>
    <w:rsid w:val="00E2707A"/>
    <w:rsid w:val="00E27388"/>
    <w:rsid w:val="00E276E6"/>
    <w:rsid w:val="00E27B41"/>
    <w:rsid w:val="00E27F33"/>
    <w:rsid w:val="00E3082A"/>
    <w:rsid w:val="00E309FB"/>
    <w:rsid w:val="00E30AC5"/>
    <w:rsid w:val="00E30C1D"/>
    <w:rsid w:val="00E31C80"/>
    <w:rsid w:val="00E33C38"/>
    <w:rsid w:val="00E34DF6"/>
    <w:rsid w:val="00E3552D"/>
    <w:rsid w:val="00E3589F"/>
    <w:rsid w:val="00E35C83"/>
    <w:rsid w:val="00E35D89"/>
    <w:rsid w:val="00E36BB0"/>
    <w:rsid w:val="00E371AB"/>
    <w:rsid w:val="00E373C4"/>
    <w:rsid w:val="00E37600"/>
    <w:rsid w:val="00E376FB"/>
    <w:rsid w:val="00E37EC4"/>
    <w:rsid w:val="00E402EE"/>
    <w:rsid w:val="00E40661"/>
    <w:rsid w:val="00E407D4"/>
    <w:rsid w:val="00E40A93"/>
    <w:rsid w:val="00E40C25"/>
    <w:rsid w:val="00E4102F"/>
    <w:rsid w:val="00E41799"/>
    <w:rsid w:val="00E41BB5"/>
    <w:rsid w:val="00E42537"/>
    <w:rsid w:val="00E425EA"/>
    <w:rsid w:val="00E4311D"/>
    <w:rsid w:val="00E4320C"/>
    <w:rsid w:val="00E4353D"/>
    <w:rsid w:val="00E43545"/>
    <w:rsid w:val="00E43DD6"/>
    <w:rsid w:val="00E449BF"/>
    <w:rsid w:val="00E44B1C"/>
    <w:rsid w:val="00E44DB5"/>
    <w:rsid w:val="00E44DDB"/>
    <w:rsid w:val="00E44ED3"/>
    <w:rsid w:val="00E45100"/>
    <w:rsid w:val="00E452D9"/>
    <w:rsid w:val="00E45345"/>
    <w:rsid w:val="00E4536A"/>
    <w:rsid w:val="00E45974"/>
    <w:rsid w:val="00E45A7C"/>
    <w:rsid w:val="00E46383"/>
    <w:rsid w:val="00E46632"/>
    <w:rsid w:val="00E46B44"/>
    <w:rsid w:val="00E46D25"/>
    <w:rsid w:val="00E471A1"/>
    <w:rsid w:val="00E47539"/>
    <w:rsid w:val="00E47806"/>
    <w:rsid w:val="00E50497"/>
    <w:rsid w:val="00E505C0"/>
    <w:rsid w:val="00E50D45"/>
    <w:rsid w:val="00E51386"/>
    <w:rsid w:val="00E513D4"/>
    <w:rsid w:val="00E5159C"/>
    <w:rsid w:val="00E52931"/>
    <w:rsid w:val="00E52F83"/>
    <w:rsid w:val="00E537E0"/>
    <w:rsid w:val="00E53801"/>
    <w:rsid w:val="00E5383A"/>
    <w:rsid w:val="00E53979"/>
    <w:rsid w:val="00E54187"/>
    <w:rsid w:val="00E544A2"/>
    <w:rsid w:val="00E548BF"/>
    <w:rsid w:val="00E54A31"/>
    <w:rsid w:val="00E55172"/>
    <w:rsid w:val="00E55A58"/>
    <w:rsid w:val="00E55D9A"/>
    <w:rsid w:val="00E55FC7"/>
    <w:rsid w:val="00E574B8"/>
    <w:rsid w:val="00E5755A"/>
    <w:rsid w:val="00E57EB1"/>
    <w:rsid w:val="00E57ED7"/>
    <w:rsid w:val="00E60161"/>
    <w:rsid w:val="00E60337"/>
    <w:rsid w:val="00E60876"/>
    <w:rsid w:val="00E6197B"/>
    <w:rsid w:val="00E635C9"/>
    <w:rsid w:val="00E63A45"/>
    <w:rsid w:val="00E63E12"/>
    <w:rsid w:val="00E64EE6"/>
    <w:rsid w:val="00E6521F"/>
    <w:rsid w:val="00E6642F"/>
    <w:rsid w:val="00E666C1"/>
    <w:rsid w:val="00E66A4C"/>
    <w:rsid w:val="00E66B06"/>
    <w:rsid w:val="00E66EDA"/>
    <w:rsid w:val="00E67447"/>
    <w:rsid w:val="00E675EE"/>
    <w:rsid w:val="00E67746"/>
    <w:rsid w:val="00E6785A"/>
    <w:rsid w:val="00E67979"/>
    <w:rsid w:val="00E67986"/>
    <w:rsid w:val="00E67E64"/>
    <w:rsid w:val="00E70952"/>
    <w:rsid w:val="00E70C23"/>
    <w:rsid w:val="00E70C95"/>
    <w:rsid w:val="00E71678"/>
    <w:rsid w:val="00E72514"/>
    <w:rsid w:val="00E72DF6"/>
    <w:rsid w:val="00E72FFD"/>
    <w:rsid w:val="00E7317D"/>
    <w:rsid w:val="00E733BC"/>
    <w:rsid w:val="00E73D9F"/>
    <w:rsid w:val="00E73EF4"/>
    <w:rsid w:val="00E74766"/>
    <w:rsid w:val="00E74B76"/>
    <w:rsid w:val="00E74DF4"/>
    <w:rsid w:val="00E756AB"/>
    <w:rsid w:val="00E75F37"/>
    <w:rsid w:val="00E760B3"/>
    <w:rsid w:val="00E76195"/>
    <w:rsid w:val="00E7635A"/>
    <w:rsid w:val="00E76803"/>
    <w:rsid w:val="00E775F0"/>
    <w:rsid w:val="00E77E6C"/>
    <w:rsid w:val="00E8011F"/>
    <w:rsid w:val="00E80905"/>
    <w:rsid w:val="00E80E01"/>
    <w:rsid w:val="00E81140"/>
    <w:rsid w:val="00E8139B"/>
    <w:rsid w:val="00E815C4"/>
    <w:rsid w:val="00E81D90"/>
    <w:rsid w:val="00E821CD"/>
    <w:rsid w:val="00E8260E"/>
    <w:rsid w:val="00E82C2E"/>
    <w:rsid w:val="00E82C31"/>
    <w:rsid w:val="00E8314E"/>
    <w:rsid w:val="00E83197"/>
    <w:rsid w:val="00E8372B"/>
    <w:rsid w:val="00E83B55"/>
    <w:rsid w:val="00E83D48"/>
    <w:rsid w:val="00E842FD"/>
    <w:rsid w:val="00E8499D"/>
    <w:rsid w:val="00E8769E"/>
    <w:rsid w:val="00E903BC"/>
    <w:rsid w:val="00E904C7"/>
    <w:rsid w:val="00E906A5"/>
    <w:rsid w:val="00E90C93"/>
    <w:rsid w:val="00E90D8F"/>
    <w:rsid w:val="00E92234"/>
    <w:rsid w:val="00E92D41"/>
    <w:rsid w:val="00E92D4F"/>
    <w:rsid w:val="00E931B7"/>
    <w:rsid w:val="00E93241"/>
    <w:rsid w:val="00E9332B"/>
    <w:rsid w:val="00E93523"/>
    <w:rsid w:val="00E93710"/>
    <w:rsid w:val="00E9380E"/>
    <w:rsid w:val="00E93B02"/>
    <w:rsid w:val="00E93C28"/>
    <w:rsid w:val="00E93CBA"/>
    <w:rsid w:val="00E955FD"/>
    <w:rsid w:val="00E9585F"/>
    <w:rsid w:val="00E959D4"/>
    <w:rsid w:val="00E95A2F"/>
    <w:rsid w:val="00E96297"/>
    <w:rsid w:val="00E9666C"/>
    <w:rsid w:val="00E96CEF"/>
    <w:rsid w:val="00E96E7A"/>
    <w:rsid w:val="00E979F4"/>
    <w:rsid w:val="00E97B00"/>
    <w:rsid w:val="00E97DA4"/>
    <w:rsid w:val="00E97DBC"/>
    <w:rsid w:val="00E97EE7"/>
    <w:rsid w:val="00EA0AAF"/>
    <w:rsid w:val="00EA0C90"/>
    <w:rsid w:val="00EA1AB6"/>
    <w:rsid w:val="00EA22A1"/>
    <w:rsid w:val="00EA26ED"/>
    <w:rsid w:val="00EA276D"/>
    <w:rsid w:val="00EA3130"/>
    <w:rsid w:val="00EA3B21"/>
    <w:rsid w:val="00EA47CD"/>
    <w:rsid w:val="00EA49B0"/>
    <w:rsid w:val="00EA4B0A"/>
    <w:rsid w:val="00EA54A3"/>
    <w:rsid w:val="00EA58B5"/>
    <w:rsid w:val="00EA5FE0"/>
    <w:rsid w:val="00EA64BE"/>
    <w:rsid w:val="00EA75D8"/>
    <w:rsid w:val="00EB0EC8"/>
    <w:rsid w:val="00EB38A9"/>
    <w:rsid w:val="00EB467A"/>
    <w:rsid w:val="00EB4AAC"/>
    <w:rsid w:val="00EB4D12"/>
    <w:rsid w:val="00EB5105"/>
    <w:rsid w:val="00EB5522"/>
    <w:rsid w:val="00EB5F34"/>
    <w:rsid w:val="00EB5F6E"/>
    <w:rsid w:val="00EB66F6"/>
    <w:rsid w:val="00EB69A6"/>
    <w:rsid w:val="00EB737B"/>
    <w:rsid w:val="00EB73E6"/>
    <w:rsid w:val="00EB780F"/>
    <w:rsid w:val="00EC0881"/>
    <w:rsid w:val="00EC0FB1"/>
    <w:rsid w:val="00EC168A"/>
    <w:rsid w:val="00EC1B64"/>
    <w:rsid w:val="00EC21E4"/>
    <w:rsid w:val="00EC2511"/>
    <w:rsid w:val="00EC28B9"/>
    <w:rsid w:val="00EC2B1B"/>
    <w:rsid w:val="00EC2BA4"/>
    <w:rsid w:val="00EC2C26"/>
    <w:rsid w:val="00EC2D73"/>
    <w:rsid w:val="00EC2DB2"/>
    <w:rsid w:val="00EC369C"/>
    <w:rsid w:val="00EC3B29"/>
    <w:rsid w:val="00EC424C"/>
    <w:rsid w:val="00EC4674"/>
    <w:rsid w:val="00EC5A02"/>
    <w:rsid w:val="00EC68AB"/>
    <w:rsid w:val="00EC6D96"/>
    <w:rsid w:val="00EC6F50"/>
    <w:rsid w:val="00EC79AD"/>
    <w:rsid w:val="00ED0A7E"/>
    <w:rsid w:val="00ED19FE"/>
    <w:rsid w:val="00ED1EA8"/>
    <w:rsid w:val="00ED21B5"/>
    <w:rsid w:val="00ED21F4"/>
    <w:rsid w:val="00ED2439"/>
    <w:rsid w:val="00ED2519"/>
    <w:rsid w:val="00ED253C"/>
    <w:rsid w:val="00ED25EA"/>
    <w:rsid w:val="00ED287D"/>
    <w:rsid w:val="00ED2EB8"/>
    <w:rsid w:val="00ED3177"/>
    <w:rsid w:val="00ED35CB"/>
    <w:rsid w:val="00ED398E"/>
    <w:rsid w:val="00ED3B21"/>
    <w:rsid w:val="00ED3CA9"/>
    <w:rsid w:val="00ED4150"/>
    <w:rsid w:val="00ED4336"/>
    <w:rsid w:val="00ED477F"/>
    <w:rsid w:val="00ED494D"/>
    <w:rsid w:val="00ED4A9F"/>
    <w:rsid w:val="00ED4E52"/>
    <w:rsid w:val="00ED4EE2"/>
    <w:rsid w:val="00ED582D"/>
    <w:rsid w:val="00ED5AE4"/>
    <w:rsid w:val="00ED6D66"/>
    <w:rsid w:val="00ED6E05"/>
    <w:rsid w:val="00ED728A"/>
    <w:rsid w:val="00ED78BF"/>
    <w:rsid w:val="00ED7AD5"/>
    <w:rsid w:val="00ED7D4A"/>
    <w:rsid w:val="00ED7F36"/>
    <w:rsid w:val="00EE020A"/>
    <w:rsid w:val="00EE0733"/>
    <w:rsid w:val="00EE2EB0"/>
    <w:rsid w:val="00EE398E"/>
    <w:rsid w:val="00EE3C68"/>
    <w:rsid w:val="00EE3E23"/>
    <w:rsid w:val="00EE429A"/>
    <w:rsid w:val="00EE4591"/>
    <w:rsid w:val="00EE4901"/>
    <w:rsid w:val="00EE50E7"/>
    <w:rsid w:val="00EE63C3"/>
    <w:rsid w:val="00EE6503"/>
    <w:rsid w:val="00EE6C2F"/>
    <w:rsid w:val="00EE6C75"/>
    <w:rsid w:val="00EE71B4"/>
    <w:rsid w:val="00EE77B6"/>
    <w:rsid w:val="00EE77C8"/>
    <w:rsid w:val="00EE7D1F"/>
    <w:rsid w:val="00EE7F38"/>
    <w:rsid w:val="00EE7FEF"/>
    <w:rsid w:val="00EF0DB2"/>
    <w:rsid w:val="00EF1174"/>
    <w:rsid w:val="00EF17A3"/>
    <w:rsid w:val="00EF182B"/>
    <w:rsid w:val="00EF1E27"/>
    <w:rsid w:val="00EF1F64"/>
    <w:rsid w:val="00EF1FB0"/>
    <w:rsid w:val="00EF2295"/>
    <w:rsid w:val="00EF26C1"/>
    <w:rsid w:val="00EF35E0"/>
    <w:rsid w:val="00EF3BE6"/>
    <w:rsid w:val="00EF3E71"/>
    <w:rsid w:val="00EF4015"/>
    <w:rsid w:val="00EF434A"/>
    <w:rsid w:val="00EF48E9"/>
    <w:rsid w:val="00EF4C4C"/>
    <w:rsid w:val="00EF4EE0"/>
    <w:rsid w:val="00EF5AD8"/>
    <w:rsid w:val="00EF5E01"/>
    <w:rsid w:val="00EF5E86"/>
    <w:rsid w:val="00EF651A"/>
    <w:rsid w:val="00EF68B4"/>
    <w:rsid w:val="00F0005D"/>
    <w:rsid w:val="00F00671"/>
    <w:rsid w:val="00F008EB"/>
    <w:rsid w:val="00F00A43"/>
    <w:rsid w:val="00F00BA0"/>
    <w:rsid w:val="00F00C30"/>
    <w:rsid w:val="00F00C90"/>
    <w:rsid w:val="00F02355"/>
    <w:rsid w:val="00F027D5"/>
    <w:rsid w:val="00F02A2D"/>
    <w:rsid w:val="00F02A67"/>
    <w:rsid w:val="00F02DE2"/>
    <w:rsid w:val="00F02F03"/>
    <w:rsid w:val="00F02F50"/>
    <w:rsid w:val="00F03150"/>
    <w:rsid w:val="00F04942"/>
    <w:rsid w:val="00F04F4A"/>
    <w:rsid w:val="00F050C0"/>
    <w:rsid w:val="00F0528C"/>
    <w:rsid w:val="00F05A77"/>
    <w:rsid w:val="00F05BC6"/>
    <w:rsid w:val="00F062E7"/>
    <w:rsid w:val="00F06690"/>
    <w:rsid w:val="00F0698A"/>
    <w:rsid w:val="00F06B51"/>
    <w:rsid w:val="00F06C23"/>
    <w:rsid w:val="00F06C2B"/>
    <w:rsid w:val="00F06F15"/>
    <w:rsid w:val="00F06F1B"/>
    <w:rsid w:val="00F07840"/>
    <w:rsid w:val="00F10826"/>
    <w:rsid w:val="00F10D7C"/>
    <w:rsid w:val="00F1108F"/>
    <w:rsid w:val="00F124EF"/>
    <w:rsid w:val="00F125C4"/>
    <w:rsid w:val="00F12726"/>
    <w:rsid w:val="00F13170"/>
    <w:rsid w:val="00F1327F"/>
    <w:rsid w:val="00F133B9"/>
    <w:rsid w:val="00F13539"/>
    <w:rsid w:val="00F14B15"/>
    <w:rsid w:val="00F150BE"/>
    <w:rsid w:val="00F161BB"/>
    <w:rsid w:val="00F168DC"/>
    <w:rsid w:val="00F16907"/>
    <w:rsid w:val="00F16AD8"/>
    <w:rsid w:val="00F16D07"/>
    <w:rsid w:val="00F16E4C"/>
    <w:rsid w:val="00F172F5"/>
    <w:rsid w:val="00F1746D"/>
    <w:rsid w:val="00F17C8C"/>
    <w:rsid w:val="00F17E1C"/>
    <w:rsid w:val="00F2051E"/>
    <w:rsid w:val="00F20D94"/>
    <w:rsid w:val="00F2137F"/>
    <w:rsid w:val="00F21851"/>
    <w:rsid w:val="00F21EE1"/>
    <w:rsid w:val="00F22251"/>
    <w:rsid w:val="00F22499"/>
    <w:rsid w:val="00F22A48"/>
    <w:rsid w:val="00F2415A"/>
    <w:rsid w:val="00F24450"/>
    <w:rsid w:val="00F2456B"/>
    <w:rsid w:val="00F24898"/>
    <w:rsid w:val="00F24B43"/>
    <w:rsid w:val="00F24E83"/>
    <w:rsid w:val="00F250A6"/>
    <w:rsid w:val="00F25DE1"/>
    <w:rsid w:val="00F2614D"/>
    <w:rsid w:val="00F264A5"/>
    <w:rsid w:val="00F270C4"/>
    <w:rsid w:val="00F27F37"/>
    <w:rsid w:val="00F32273"/>
    <w:rsid w:val="00F331CE"/>
    <w:rsid w:val="00F33F5B"/>
    <w:rsid w:val="00F34142"/>
    <w:rsid w:val="00F34F47"/>
    <w:rsid w:val="00F35269"/>
    <w:rsid w:val="00F3606B"/>
    <w:rsid w:val="00F363ED"/>
    <w:rsid w:val="00F36D3D"/>
    <w:rsid w:val="00F371EE"/>
    <w:rsid w:val="00F37351"/>
    <w:rsid w:val="00F37C07"/>
    <w:rsid w:val="00F40401"/>
    <w:rsid w:val="00F419B1"/>
    <w:rsid w:val="00F419DD"/>
    <w:rsid w:val="00F420D5"/>
    <w:rsid w:val="00F42E3A"/>
    <w:rsid w:val="00F43169"/>
    <w:rsid w:val="00F4386B"/>
    <w:rsid w:val="00F43AF0"/>
    <w:rsid w:val="00F440B8"/>
    <w:rsid w:val="00F44AE3"/>
    <w:rsid w:val="00F45E96"/>
    <w:rsid w:val="00F462DE"/>
    <w:rsid w:val="00F46BEE"/>
    <w:rsid w:val="00F479F5"/>
    <w:rsid w:val="00F500D9"/>
    <w:rsid w:val="00F51119"/>
    <w:rsid w:val="00F5117D"/>
    <w:rsid w:val="00F511FC"/>
    <w:rsid w:val="00F5166E"/>
    <w:rsid w:val="00F528BC"/>
    <w:rsid w:val="00F53083"/>
    <w:rsid w:val="00F53862"/>
    <w:rsid w:val="00F53988"/>
    <w:rsid w:val="00F54241"/>
    <w:rsid w:val="00F55554"/>
    <w:rsid w:val="00F55EB9"/>
    <w:rsid w:val="00F560A0"/>
    <w:rsid w:val="00F5626C"/>
    <w:rsid w:val="00F56524"/>
    <w:rsid w:val="00F5678C"/>
    <w:rsid w:val="00F5680C"/>
    <w:rsid w:val="00F57082"/>
    <w:rsid w:val="00F60528"/>
    <w:rsid w:val="00F607C1"/>
    <w:rsid w:val="00F60DED"/>
    <w:rsid w:val="00F613FE"/>
    <w:rsid w:val="00F62057"/>
    <w:rsid w:val="00F62341"/>
    <w:rsid w:val="00F6326E"/>
    <w:rsid w:val="00F63906"/>
    <w:rsid w:val="00F641A0"/>
    <w:rsid w:val="00F64599"/>
    <w:rsid w:val="00F64B1F"/>
    <w:rsid w:val="00F64D3A"/>
    <w:rsid w:val="00F65479"/>
    <w:rsid w:val="00F65596"/>
    <w:rsid w:val="00F65878"/>
    <w:rsid w:val="00F66102"/>
    <w:rsid w:val="00F66140"/>
    <w:rsid w:val="00F661D8"/>
    <w:rsid w:val="00F669A5"/>
    <w:rsid w:val="00F6701A"/>
    <w:rsid w:val="00F6703E"/>
    <w:rsid w:val="00F6724A"/>
    <w:rsid w:val="00F673A5"/>
    <w:rsid w:val="00F6751E"/>
    <w:rsid w:val="00F7058E"/>
    <w:rsid w:val="00F724CF"/>
    <w:rsid w:val="00F73207"/>
    <w:rsid w:val="00F736DD"/>
    <w:rsid w:val="00F7375A"/>
    <w:rsid w:val="00F73C99"/>
    <w:rsid w:val="00F7411A"/>
    <w:rsid w:val="00F75113"/>
    <w:rsid w:val="00F7519B"/>
    <w:rsid w:val="00F755B9"/>
    <w:rsid w:val="00F76406"/>
    <w:rsid w:val="00F76C2F"/>
    <w:rsid w:val="00F805B4"/>
    <w:rsid w:val="00F80625"/>
    <w:rsid w:val="00F80F47"/>
    <w:rsid w:val="00F81461"/>
    <w:rsid w:val="00F821E9"/>
    <w:rsid w:val="00F822F0"/>
    <w:rsid w:val="00F8275D"/>
    <w:rsid w:val="00F827CC"/>
    <w:rsid w:val="00F828C3"/>
    <w:rsid w:val="00F82B90"/>
    <w:rsid w:val="00F82BD1"/>
    <w:rsid w:val="00F82D03"/>
    <w:rsid w:val="00F83430"/>
    <w:rsid w:val="00F8364D"/>
    <w:rsid w:val="00F83708"/>
    <w:rsid w:val="00F83A5B"/>
    <w:rsid w:val="00F83D04"/>
    <w:rsid w:val="00F83F5A"/>
    <w:rsid w:val="00F84232"/>
    <w:rsid w:val="00F84703"/>
    <w:rsid w:val="00F847D2"/>
    <w:rsid w:val="00F84A9B"/>
    <w:rsid w:val="00F85B5D"/>
    <w:rsid w:val="00F86313"/>
    <w:rsid w:val="00F87020"/>
    <w:rsid w:val="00F873BE"/>
    <w:rsid w:val="00F90578"/>
    <w:rsid w:val="00F9176A"/>
    <w:rsid w:val="00F91A92"/>
    <w:rsid w:val="00F925DF"/>
    <w:rsid w:val="00F92800"/>
    <w:rsid w:val="00F92927"/>
    <w:rsid w:val="00F9305B"/>
    <w:rsid w:val="00F93336"/>
    <w:rsid w:val="00F93B66"/>
    <w:rsid w:val="00F93C46"/>
    <w:rsid w:val="00F93FCC"/>
    <w:rsid w:val="00F93FF8"/>
    <w:rsid w:val="00F94B81"/>
    <w:rsid w:val="00F9518E"/>
    <w:rsid w:val="00F95A5C"/>
    <w:rsid w:val="00F95AF4"/>
    <w:rsid w:val="00F95B7A"/>
    <w:rsid w:val="00F96A7E"/>
    <w:rsid w:val="00F970C6"/>
    <w:rsid w:val="00F97793"/>
    <w:rsid w:val="00F97A47"/>
    <w:rsid w:val="00F97DB3"/>
    <w:rsid w:val="00FA02CC"/>
    <w:rsid w:val="00FA06CB"/>
    <w:rsid w:val="00FA0EFC"/>
    <w:rsid w:val="00FA14E1"/>
    <w:rsid w:val="00FA1DF5"/>
    <w:rsid w:val="00FA2295"/>
    <w:rsid w:val="00FA2554"/>
    <w:rsid w:val="00FA2BFE"/>
    <w:rsid w:val="00FA4187"/>
    <w:rsid w:val="00FA4785"/>
    <w:rsid w:val="00FA5056"/>
    <w:rsid w:val="00FA582E"/>
    <w:rsid w:val="00FA5CCE"/>
    <w:rsid w:val="00FA618A"/>
    <w:rsid w:val="00FA6251"/>
    <w:rsid w:val="00FA674F"/>
    <w:rsid w:val="00FA68F5"/>
    <w:rsid w:val="00FA6D75"/>
    <w:rsid w:val="00FA74A3"/>
    <w:rsid w:val="00FA7807"/>
    <w:rsid w:val="00FA7C01"/>
    <w:rsid w:val="00FB02F0"/>
    <w:rsid w:val="00FB039B"/>
    <w:rsid w:val="00FB152E"/>
    <w:rsid w:val="00FB20D1"/>
    <w:rsid w:val="00FB24E9"/>
    <w:rsid w:val="00FB313F"/>
    <w:rsid w:val="00FB388F"/>
    <w:rsid w:val="00FB3D3C"/>
    <w:rsid w:val="00FB406F"/>
    <w:rsid w:val="00FB4F92"/>
    <w:rsid w:val="00FB56CE"/>
    <w:rsid w:val="00FB5B51"/>
    <w:rsid w:val="00FB6005"/>
    <w:rsid w:val="00FB618E"/>
    <w:rsid w:val="00FB7489"/>
    <w:rsid w:val="00FB76BB"/>
    <w:rsid w:val="00FB7F2A"/>
    <w:rsid w:val="00FB7FAB"/>
    <w:rsid w:val="00FC007C"/>
    <w:rsid w:val="00FC1239"/>
    <w:rsid w:val="00FC1CDD"/>
    <w:rsid w:val="00FC2A20"/>
    <w:rsid w:val="00FC3001"/>
    <w:rsid w:val="00FC36A1"/>
    <w:rsid w:val="00FC390E"/>
    <w:rsid w:val="00FC42E3"/>
    <w:rsid w:val="00FC4369"/>
    <w:rsid w:val="00FC4565"/>
    <w:rsid w:val="00FC4568"/>
    <w:rsid w:val="00FC4A9D"/>
    <w:rsid w:val="00FC4C8E"/>
    <w:rsid w:val="00FC4D5E"/>
    <w:rsid w:val="00FC4DC8"/>
    <w:rsid w:val="00FC53BF"/>
    <w:rsid w:val="00FC595B"/>
    <w:rsid w:val="00FC5ADB"/>
    <w:rsid w:val="00FC5B9C"/>
    <w:rsid w:val="00FC5DC1"/>
    <w:rsid w:val="00FC6423"/>
    <w:rsid w:val="00FC64EF"/>
    <w:rsid w:val="00FC6791"/>
    <w:rsid w:val="00FC6C25"/>
    <w:rsid w:val="00FC6D33"/>
    <w:rsid w:val="00FC7F2E"/>
    <w:rsid w:val="00FD007A"/>
    <w:rsid w:val="00FD087E"/>
    <w:rsid w:val="00FD0AFC"/>
    <w:rsid w:val="00FD0CDD"/>
    <w:rsid w:val="00FD1115"/>
    <w:rsid w:val="00FD1AA4"/>
    <w:rsid w:val="00FD1C77"/>
    <w:rsid w:val="00FD1CFB"/>
    <w:rsid w:val="00FD1DA9"/>
    <w:rsid w:val="00FD2742"/>
    <w:rsid w:val="00FD2BB6"/>
    <w:rsid w:val="00FD2EDF"/>
    <w:rsid w:val="00FD31A7"/>
    <w:rsid w:val="00FD31BB"/>
    <w:rsid w:val="00FD3480"/>
    <w:rsid w:val="00FD3808"/>
    <w:rsid w:val="00FD3FA4"/>
    <w:rsid w:val="00FD40E6"/>
    <w:rsid w:val="00FD4345"/>
    <w:rsid w:val="00FD43F4"/>
    <w:rsid w:val="00FD4ED7"/>
    <w:rsid w:val="00FD50E5"/>
    <w:rsid w:val="00FD52BF"/>
    <w:rsid w:val="00FD5642"/>
    <w:rsid w:val="00FD5AB3"/>
    <w:rsid w:val="00FD6597"/>
    <w:rsid w:val="00FD6EF0"/>
    <w:rsid w:val="00FD71ED"/>
    <w:rsid w:val="00FD7266"/>
    <w:rsid w:val="00FD7E49"/>
    <w:rsid w:val="00FE0216"/>
    <w:rsid w:val="00FE0451"/>
    <w:rsid w:val="00FE08D8"/>
    <w:rsid w:val="00FE0B9A"/>
    <w:rsid w:val="00FE1658"/>
    <w:rsid w:val="00FE1B2D"/>
    <w:rsid w:val="00FE2785"/>
    <w:rsid w:val="00FE2859"/>
    <w:rsid w:val="00FE2FF3"/>
    <w:rsid w:val="00FE3EE9"/>
    <w:rsid w:val="00FE406F"/>
    <w:rsid w:val="00FE4400"/>
    <w:rsid w:val="00FE45D4"/>
    <w:rsid w:val="00FE4C5D"/>
    <w:rsid w:val="00FE4D26"/>
    <w:rsid w:val="00FE5164"/>
    <w:rsid w:val="00FE5B93"/>
    <w:rsid w:val="00FE5E0D"/>
    <w:rsid w:val="00FE60F7"/>
    <w:rsid w:val="00FE6DBC"/>
    <w:rsid w:val="00FE6FB0"/>
    <w:rsid w:val="00FE7218"/>
    <w:rsid w:val="00FE7244"/>
    <w:rsid w:val="00FE758A"/>
    <w:rsid w:val="00FE7952"/>
    <w:rsid w:val="00FF06ED"/>
    <w:rsid w:val="00FF08BB"/>
    <w:rsid w:val="00FF0A9E"/>
    <w:rsid w:val="00FF13DC"/>
    <w:rsid w:val="00FF1A61"/>
    <w:rsid w:val="00FF1B53"/>
    <w:rsid w:val="00FF247A"/>
    <w:rsid w:val="00FF264D"/>
    <w:rsid w:val="00FF271B"/>
    <w:rsid w:val="00FF2832"/>
    <w:rsid w:val="00FF2962"/>
    <w:rsid w:val="00FF3172"/>
    <w:rsid w:val="00FF3833"/>
    <w:rsid w:val="00FF3B0D"/>
    <w:rsid w:val="00FF4032"/>
    <w:rsid w:val="00FF4505"/>
    <w:rsid w:val="00FF5502"/>
    <w:rsid w:val="00FF5C67"/>
    <w:rsid w:val="00FF63CB"/>
    <w:rsid w:val="00FF6E54"/>
    <w:rsid w:val="00FF718C"/>
    <w:rsid w:val="00FF750D"/>
    <w:rsid w:val="00FF75BD"/>
    <w:rsid w:val="00FF7AD9"/>
    <w:rsid w:val="01B500C7"/>
    <w:rsid w:val="35B043B7"/>
    <w:rsid w:val="65880F53"/>
    <w:rsid w:val="74367F5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qFormat="1" w:uiPriority="0" w:semiHidden="0" w:name="index 4"/>
    <w:lsdException w:qFormat="1" w:uiPriority="99" w:semiHidden="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uiPriority="0" w:name="List Continue 3"/>
    <w:lsdException w:qFormat="1" w:unhideWhenUsed="0" w:uiPriority="0" w:semiHidden="0" w:name="List Continue 4"/>
    <w:lsdException w:qFormat="1" w:unhideWhenUsed="0" w:uiPriority="0" w:semiHidden="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67"/>
    <w:qFormat/>
    <w:uiPriority w:val="0"/>
    <w:pPr>
      <w:keepNext/>
      <w:keepLines/>
      <w:spacing w:before="260" w:after="260" w:line="416" w:lineRule="auto"/>
      <w:outlineLvl w:val="2"/>
    </w:pPr>
    <w:rPr>
      <w:b/>
      <w:bCs/>
      <w:sz w:val="32"/>
      <w:szCs w:val="32"/>
    </w:rPr>
  </w:style>
  <w:style w:type="paragraph" w:styleId="5">
    <w:name w:val="heading 4"/>
    <w:basedOn w:val="1"/>
    <w:next w:val="1"/>
    <w:link w:val="68"/>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99"/>
    <w:qFormat/>
    <w:uiPriority w:val="0"/>
    <w:pPr>
      <w:keepNext/>
      <w:keepLines/>
      <w:spacing w:before="280" w:after="290" w:line="376" w:lineRule="auto"/>
      <w:outlineLvl w:val="4"/>
    </w:pPr>
    <w:rPr>
      <w:b/>
      <w:bCs/>
      <w:sz w:val="28"/>
      <w:szCs w:val="28"/>
    </w:rPr>
  </w:style>
  <w:style w:type="paragraph" w:styleId="7">
    <w:name w:val="heading 6"/>
    <w:basedOn w:val="1"/>
    <w:next w:val="1"/>
    <w:link w:val="69"/>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link w:val="70"/>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link w:val="71"/>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link w:val="72"/>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style>
  <w:style w:type="paragraph" w:styleId="12">
    <w:name w:val="toc 7"/>
    <w:basedOn w:val="1"/>
    <w:next w:val="1"/>
    <w:qFormat/>
    <w:uiPriority w:val="39"/>
    <w:pPr>
      <w:ind w:left="1260"/>
      <w:jc w:val="left"/>
    </w:pPr>
    <w:rPr>
      <w:sz w:val="18"/>
      <w:szCs w:val="18"/>
    </w:rPr>
  </w:style>
  <w:style w:type="paragraph" w:styleId="13">
    <w:name w:val="Normal Indent"/>
    <w:basedOn w:val="1"/>
    <w:qFormat/>
    <w:uiPriority w:val="0"/>
    <w:pPr>
      <w:ind w:firstLine="420" w:firstLineChars="200"/>
    </w:pPr>
  </w:style>
  <w:style w:type="paragraph" w:styleId="14">
    <w:name w:val="caption"/>
    <w:basedOn w:val="1"/>
    <w:next w:val="1"/>
    <w:qFormat/>
    <w:uiPriority w:val="0"/>
    <w:rPr>
      <w:rFonts w:ascii="Arial" w:hAnsi="Arial" w:eastAsia="黑体" w:cs="Arial"/>
      <w:sz w:val="20"/>
      <w:szCs w:val="20"/>
    </w:rPr>
  </w:style>
  <w:style w:type="paragraph" w:styleId="15">
    <w:name w:val="index 5"/>
    <w:basedOn w:val="1"/>
    <w:next w:val="1"/>
    <w:unhideWhenUsed/>
    <w:qFormat/>
    <w:uiPriority w:val="99"/>
    <w:pPr>
      <w:ind w:left="1680" w:leftChars="800"/>
    </w:pPr>
    <w:rPr>
      <w:rFonts w:ascii="黑体" w:hAnsi="黑体" w:eastAsia="黑体"/>
    </w:rPr>
  </w:style>
  <w:style w:type="paragraph" w:styleId="16">
    <w:name w:val="Document Map"/>
    <w:basedOn w:val="1"/>
    <w:link w:val="90"/>
    <w:qFormat/>
    <w:uiPriority w:val="0"/>
    <w:pPr>
      <w:shd w:val="clear" w:color="auto" w:fill="000080"/>
    </w:pPr>
  </w:style>
  <w:style w:type="paragraph" w:styleId="17">
    <w:name w:val="annotation text"/>
    <w:basedOn w:val="1"/>
    <w:link w:val="80"/>
    <w:qFormat/>
    <w:uiPriority w:val="0"/>
    <w:pPr>
      <w:jc w:val="left"/>
    </w:pPr>
  </w:style>
  <w:style w:type="paragraph" w:styleId="18">
    <w:name w:val="Body Text 3"/>
    <w:basedOn w:val="1"/>
    <w:link w:val="76"/>
    <w:qFormat/>
    <w:uiPriority w:val="0"/>
    <w:rPr>
      <w:rFonts w:ascii="宋体"/>
      <w:sz w:val="24"/>
      <w:szCs w:val="20"/>
    </w:rPr>
  </w:style>
  <w:style w:type="paragraph" w:styleId="19">
    <w:name w:val="Body Text"/>
    <w:basedOn w:val="1"/>
    <w:link w:val="73"/>
    <w:qFormat/>
    <w:uiPriority w:val="0"/>
    <w:pPr>
      <w:spacing w:after="120"/>
    </w:pPr>
  </w:style>
  <w:style w:type="paragraph" w:styleId="20">
    <w:name w:val="Body Text Indent"/>
    <w:basedOn w:val="1"/>
    <w:link w:val="82"/>
    <w:qFormat/>
    <w:uiPriority w:val="0"/>
    <w:pPr>
      <w:spacing w:after="120"/>
      <w:ind w:left="420" w:leftChars="200"/>
    </w:pPr>
  </w:style>
  <w:style w:type="paragraph" w:styleId="21">
    <w:name w:val="List 2"/>
    <w:basedOn w:val="1"/>
    <w:qFormat/>
    <w:uiPriority w:val="0"/>
    <w:pPr>
      <w:ind w:left="100" w:leftChars="200" w:hanging="200" w:hangingChars="200"/>
    </w:pPr>
  </w:style>
  <w:style w:type="paragraph" w:styleId="22">
    <w:name w:val="List Continue"/>
    <w:basedOn w:val="1"/>
    <w:qFormat/>
    <w:uiPriority w:val="0"/>
    <w:pPr>
      <w:adjustRightInd w:val="0"/>
      <w:spacing w:after="120" w:line="312" w:lineRule="atLeast"/>
      <w:ind w:left="420"/>
      <w:textAlignment w:val="baseline"/>
    </w:pPr>
    <w:rPr>
      <w:kern w:val="0"/>
      <w:szCs w:val="20"/>
    </w:rPr>
  </w:style>
  <w:style w:type="paragraph" w:styleId="23">
    <w:name w:val="index 4"/>
    <w:basedOn w:val="1"/>
    <w:next w:val="1"/>
    <w:unhideWhenUsed/>
    <w:qFormat/>
    <w:uiPriority w:val="0"/>
    <w:pPr>
      <w:ind w:left="600" w:leftChars="600"/>
    </w:pPr>
  </w:style>
  <w:style w:type="paragraph" w:styleId="24">
    <w:name w:val="toc 5"/>
    <w:basedOn w:val="1"/>
    <w:next w:val="1"/>
    <w:qFormat/>
    <w:uiPriority w:val="39"/>
    <w:pPr>
      <w:ind w:left="840"/>
      <w:jc w:val="left"/>
    </w:pPr>
    <w:rPr>
      <w:sz w:val="18"/>
      <w:szCs w:val="18"/>
    </w:rPr>
  </w:style>
  <w:style w:type="paragraph" w:styleId="25">
    <w:name w:val="toc 3"/>
    <w:basedOn w:val="1"/>
    <w:next w:val="1"/>
    <w:qFormat/>
    <w:uiPriority w:val="39"/>
    <w:pPr>
      <w:ind w:left="420"/>
      <w:jc w:val="left"/>
    </w:pPr>
    <w:rPr>
      <w:i/>
      <w:iCs/>
      <w:sz w:val="20"/>
      <w:szCs w:val="20"/>
    </w:rPr>
  </w:style>
  <w:style w:type="paragraph" w:styleId="26">
    <w:name w:val="Plain Text"/>
    <w:basedOn w:val="1"/>
    <w:link w:val="92"/>
    <w:qFormat/>
    <w:uiPriority w:val="0"/>
    <w:rPr>
      <w:rFonts w:ascii="宋体" w:hAnsi="Courier New"/>
      <w:color w:val="000000"/>
      <w:szCs w:val="20"/>
    </w:rPr>
  </w:style>
  <w:style w:type="paragraph" w:styleId="27">
    <w:name w:val="toc 8"/>
    <w:basedOn w:val="1"/>
    <w:next w:val="1"/>
    <w:qFormat/>
    <w:uiPriority w:val="39"/>
    <w:pPr>
      <w:ind w:left="1470"/>
      <w:jc w:val="left"/>
    </w:pPr>
    <w:rPr>
      <w:sz w:val="18"/>
      <w:szCs w:val="18"/>
    </w:rPr>
  </w:style>
  <w:style w:type="paragraph" w:styleId="28">
    <w:name w:val="Date"/>
    <w:basedOn w:val="1"/>
    <w:next w:val="1"/>
    <w:link w:val="102"/>
    <w:qFormat/>
    <w:uiPriority w:val="0"/>
    <w:pPr>
      <w:ind w:left="100" w:leftChars="2500"/>
    </w:pPr>
  </w:style>
  <w:style w:type="paragraph" w:styleId="29">
    <w:name w:val="Body Text Indent 2"/>
    <w:basedOn w:val="1"/>
    <w:link w:val="91"/>
    <w:qFormat/>
    <w:uiPriority w:val="0"/>
    <w:pPr>
      <w:ind w:firstLine="624"/>
    </w:pPr>
    <w:rPr>
      <w:rFonts w:ascii="仿宋_GB2312" w:eastAsia="仿宋_GB2312"/>
      <w:sz w:val="28"/>
    </w:rPr>
  </w:style>
  <w:style w:type="paragraph" w:styleId="30">
    <w:name w:val="endnote text"/>
    <w:basedOn w:val="1"/>
    <w:link w:val="95"/>
    <w:qFormat/>
    <w:uiPriority w:val="0"/>
    <w:pPr>
      <w:snapToGrid w:val="0"/>
      <w:jc w:val="left"/>
    </w:pPr>
  </w:style>
  <w:style w:type="paragraph" w:styleId="31">
    <w:name w:val="List Continue 5"/>
    <w:basedOn w:val="1"/>
    <w:qFormat/>
    <w:uiPriority w:val="0"/>
    <w:pPr>
      <w:adjustRightInd w:val="0"/>
      <w:spacing w:after="120" w:line="312" w:lineRule="atLeast"/>
      <w:ind w:left="2100"/>
      <w:textAlignment w:val="baseline"/>
    </w:pPr>
    <w:rPr>
      <w:kern w:val="0"/>
      <w:szCs w:val="20"/>
    </w:rPr>
  </w:style>
  <w:style w:type="paragraph" w:styleId="32">
    <w:name w:val="Balloon Text"/>
    <w:basedOn w:val="1"/>
    <w:link w:val="89"/>
    <w:qFormat/>
    <w:uiPriority w:val="0"/>
    <w:rPr>
      <w:sz w:val="18"/>
      <w:szCs w:val="18"/>
    </w:rPr>
  </w:style>
  <w:style w:type="paragraph" w:styleId="33">
    <w:name w:val="footer"/>
    <w:basedOn w:val="1"/>
    <w:link w:val="98"/>
    <w:qFormat/>
    <w:uiPriority w:val="99"/>
    <w:pPr>
      <w:tabs>
        <w:tab w:val="center" w:pos="4153"/>
        <w:tab w:val="right" w:pos="8306"/>
      </w:tabs>
      <w:snapToGrid w:val="0"/>
      <w:jc w:val="left"/>
    </w:pPr>
    <w:rPr>
      <w:sz w:val="18"/>
      <w:szCs w:val="18"/>
    </w:rPr>
  </w:style>
  <w:style w:type="paragraph" w:styleId="34">
    <w:name w:val="header"/>
    <w:basedOn w:val="1"/>
    <w:link w:val="101"/>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pPr>
      <w:spacing w:before="120" w:after="120"/>
      <w:jc w:val="left"/>
    </w:pPr>
    <w:rPr>
      <w:b/>
      <w:bCs/>
      <w:caps/>
      <w:sz w:val="20"/>
      <w:szCs w:val="20"/>
    </w:rPr>
  </w:style>
  <w:style w:type="paragraph" w:styleId="36">
    <w:name w:val="List Continue 4"/>
    <w:basedOn w:val="1"/>
    <w:qFormat/>
    <w:uiPriority w:val="0"/>
    <w:pPr>
      <w:adjustRightInd w:val="0"/>
      <w:spacing w:after="120" w:line="312" w:lineRule="atLeast"/>
      <w:ind w:left="1680"/>
      <w:textAlignment w:val="baseline"/>
    </w:pPr>
    <w:rPr>
      <w:kern w:val="0"/>
      <w:szCs w:val="20"/>
    </w:rPr>
  </w:style>
  <w:style w:type="paragraph" w:styleId="37">
    <w:name w:val="toc 4"/>
    <w:basedOn w:val="1"/>
    <w:next w:val="1"/>
    <w:qFormat/>
    <w:uiPriority w:val="39"/>
    <w:pPr>
      <w:ind w:left="630"/>
      <w:jc w:val="left"/>
    </w:pPr>
    <w:rPr>
      <w:sz w:val="18"/>
      <w:szCs w:val="18"/>
    </w:rPr>
  </w:style>
  <w:style w:type="paragraph" w:styleId="38">
    <w:name w:val="Subtitle"/>
    <w:basedOn w:val="1"/>
    <w:next w:val="1"/>
    <w:link w:val="104"/>
    <w:qFormat/>
    <w:uiPriority w:val="0"/>
    <w:pPr>
      <w:spacing w:before="240" w:after="60" w:line="312" w:lineRule="auto"/>
      <w:jc w:val="center"/>
      <w:outlineLvl w:val="1"/>
    </w:pPr>
    <w:rPr>
      <w:rFonts w:ascii="Cambria" w:hAnsi="Cambria"/>
      <w:b/>
      <w:bCs/>
      <w:kern w:val="28"/>
      <w:sz w:val="32"/>
      <w:szCs w:val="32"/>
    </w:rPr>
  </w:style>
  <w:style w:type="paragraph" w:styleId="39">
    <w:name w:val="List"/>
    <w:basedOn w:val="1"/>
    <w:qFormat/>
    <w:uiPriority w:val="0"/>
    <w:pPr>
      <w:ind w:left="200" w:hanging="200" w:hangingChars="200"/>
    </w:pPr>
  </w:style>
  <w:style w:type="paragraph" w:styleId="40">
    <w:name w:val="footnote text"/>
    <w:basedOn w:val="1"/>
    <w:link w:val="74"/>
    <w:qFormat/>
    <w:uiPriority w:val="0"/>
    <w:pPr>
      <w:snapToGrid w:val="0"/>
      <w:jc w:val="left"/>
    </w:pPr>
    <w:rPr>
      <w:sz w:val="18"/>
      <w:szCs w:val="18"/>
    </w:rPr>
  </w:style>
  <w:style w:type="paragraph" w:styleId="41">
    <w:name w:val="toc 6"/>
    <w:basedOn w:val="1"/>
    <w:next w:val="1"/>
    <w:qFormat/>
    <w:uiPriority w:val="39"/>
    <w:pPr>
      <w:ind w:left="1050"/>
      <w:jc w:val="left"/>
    </w:pPr>
    <w:rPr>
      <w:sz w:val="18"/>
      <w:szCs w:val="18"/>
    </w:rPr>
  </w:style>
  <w:style w:type="paragraph" w:styleId="42">
    <w:name w:val="List 5"/>
    <w:basedOn w:val="1"/>
    <w:qFormat/>
    <w:uiPriority w:val="0"/>
    <w:pPr>
      <w:ind w:left="100" w:leftChars="800" w:hanging="200" w:hangingChars="200"/>
    </w:pPr>
  </w:style>
  <w:style w:type="paragraph" w:styleId="43">
    <w:name w:val="Body Text Indent 3"/>
    <w:basedOn w:val="1"/>
    <w:link w:val="83"/>
    <w:qFormat/>
    <w:uiPriority w:val="0"/>
    <w:pPr>
      <w:spacing w:after="120"/>
      <w:ind w:left="420" w:leftChars="200"/>
    </w:pPr>
    <w:rPr>
      <w:sz w:val="16"/>
      <w:szCs w:val="16"/>
    </w:rPr>
  </w:style>
  <w:style w:type="paragraph" w:styleId="44">
    <w:name w:val="toc 2"/>
    <w:basedOn w:val="1"/>
    <w:next w:val="1"/>
    <w:qFormat/>
    <w:uiPriority w:val="39"/>
    <w:pPr>
      <w:tabs>
        <w:tab w:val="right" w:leader="dot" w:pos="9629"/>
      </w:tabs>
      <w:spacing w:line="400" w:lineRule="exact"/>
      <w:jc w:val="left"/>
    </w:pPr>
    <w:rPr>
      <w:smallCaps/>
      <w:sz w:val="20"/>
      <w:szCs w:val="20"/>
    </w:rPr>
  </w:style>
  <w:style w:type="paragraph" w:styleId="45">
    <w:name w:val="toc 9"/>
    <w:basedOn w:val="1"/>
    <w:next w:val="1"/>
    <w:qFormat/>
    <w:uiPriority w:val="39"/>
    <w:pPr>
      <w:ind w:left="1680"/>
      <w:jc w:val="left"/>
    </w:pPr>
    <w:rPr>
      <w:sz w:val="18"/>
      <w:szCs w:val="18"/>
    </w:rPr>
  </w:style>
  <w:style w:type="paragraph" w:styleId="46">
    <w:name w:val="Body Text 2"/>
    <w:basedOn w:val="1"/>
    <w:link w:val="93"/>
    <w:qFormat/>
    <w:uiPriority w:val="0"/>
    <w:rPr>
      <w:rFonts w:ascii="宋体" w:hAnsi="宋体"/>
      <w:sz w:val="28"/>
    </w:rPr>
  </w:style>
  <w:style w:type="paragraph" w:styleId="47">
    <w:name w:val="List 4"/>
    <w:basedOn w:val="1"/>
    <w:qFormat/>
    <w:uiPriority w:val="0"/>
    <w:pPr>
      <w:adjustRightInd w:val="0"/>
      <w:spacing w:line="312" w:lineRule="atLeast"/>
      <w:ind w:left="1680" w:hanging="420"/>
      <w:textAlignment w:val="baseline"/>
    </w:pPr>
    <w:rPr>
      <w:kern w:val="0"/>
      <w:szCs w:val="20"/>
    </w:rPr>
  </w:style>
  <w:style w:type="paragraph" w:styleId="48">
    <w:name w:val="List Continue 2"/>
    <w:basedOn w:val="1"/>
    <w:qFormat/>
    <w:uiPriority w:val="0"/>
    <w:pPr>
      <w:adjustRightInd w:val="0"/>
      <w:spacing w:after="120" w:line="312" w:lineRule="atLeast"/>
      <w:ind w:left="840"/>
      <w:textAlignment w:val="baseline"/>
    </w:pPr>
    <w:rPr>
      <w:kern w:val="0"/>
      <w:szCs w:val="20"/>
    </w:rPr>
  </w:style>
  <w:style w:type="paragraph" w:styleId="49">
    <w:name w:val="Normal (Web)"/>
    <w:basedOn w:val="1"/>
    <w:unhideWhenUsed/>
    <w:qFormat/>
    <w:uiPriority w:val="99"/>
    <w:pPr>
      <w:widowControl/>
      <w:spacing w:before="100" w:beforeAutospacing="1" w:after="100" w:afterAutospacing="1" w:line="320" w:lineRule="atLeast"/>
      <w:jc w:val="left"/>
    </w:pPr>
    <w:rPr>
      <w:rFonts w:ascii="宋体" w:hAnsi="宋体"/>
      <w:kern w:val="0"/>
      <w:sz w:val="18"/>
      <w:szCs w:val="18"/>
    </w:rPr>
  </w:style>
  <w:style w:type="paragraph" w:styleId="50">
    <w:name w:val="index 1"/>
    <w:basedOn w:val="1"/>
    <w:next w:val="1"/>
    <w:qFormat/>
    <w:uiPriority w:val="0"/>
    <w:pPr>
      <w:spacing w:line="220" w:lineRule="exact"/>
      <w:jc w:val="center"/>
    </w:pPr>
    <w:rPr>
      <w:rFonts w:ascii="仿宋_GB2312" w:eastAsia="仿宋_GB2312"/>
      <w:szCs w:val="21"/>
    </w:rPr>
  </w:style>
  <w:style w:type="paragraph" w:styleId="51">
    <w:name w:val="Title"/>
    <w:basedOn w:val="1"/>
    <w:link w:val="8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52">
    <w:name w:val="annotation subject"/>
    <w:basedOn w:val="17"/>
    <w:next w:val="17"/>
    <w:link w:val="103"/>
    <w:qFormat/>
    <w:uiPriority w:val="0"/>
    <w:rPr>
      <w:b/>
      <w:bCs/>
    </w:rPr>
  </w:style>
  <w:style w:type="paragraph" w:styleId="53">
    <w:name w:val="Body Text First Indent"/>
    <w:basedOn w:val="19"/>
    <w:link w:val="229"/>
    <w:qFormat/>
    <w:uiPriority w:val="0"/>
    <w:pPr>
      <w:adjustRightInd w:val="0"/>
      <w:spacing w:line="312" w:lineRule="atLeast"/>
      <w:ind w:firstLine="420"/>
      <w:textAlignment w:val="baseline"/>
    </w:pPr>
    <w:rPr>
      <w:kern w:val="0"/>
      <w:szCs w:val="20"/>
    </w:rPr>
  </w:style>
  <w:style w:type="paragraph" w:styleId="54">
    <w:name w:val="Body Text First Indent 2"/>
    <w:basedOn w:val="20"/>
    <w:link w:val="230"/>
    <w:qFormat/>
    <w:uiPriority w:val="0"/>
    <w:pPr>
      <w:adjustRightInd w:val="0"/>
      <w:spacing w:line="312" w:lineRule="atLeast"/>
      <w:ind w:left="0" w:leftChars="0" w:firstLine="420"/>
      <w:textAlignment w:val="baseline"/>
    </w:pPr>
    <w:rPr>
      <w:kern w:val="0"/>
      <w:szCs w:val="20"/>
    </w:rPr>
  </w:style>
  <w:style w:type="table" w:styleId="56">
    <w:name w:val="Table Grid"/>
    <w:basedOn w:val="5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8">
    <w:name w:val="Strong"/>
    <w:qFormat/>
    <w:uiPriority w:val="0"/>
    <w:rPr>
      <w:b/>
      <w:bCs/>
    </w:rPr>
  </w:style>
  <w:style w:type="character" w:styleId="59">
    <w:name w:val="endnote reference"/>
    <w:qFormat/>
    <w:uiPriority w:val="0"/>
    <w:rPr>
      <w:vertAlign w:val="superscript"/>
    </w:rPr>
  </w:style>
  <w:style w:type="character" w:styleId="60">
    <w:name w:val="page number"/>
    <w:basedOn w:val="57"/>
    <w:qFormat/>
    <w:uiPriority w:val="0"/>
  </w:style>
  <w:style w:type="character" w:styleId="61">
    <w:name w:val="FollowedHyperlink"/>
    <w:qFormat/>
    <w:uiPriority w:val="99"/>
    <w:rPr>
      <w:color w:val="800080"/>
      <w:u w:val="single"/>
    </w:rPr>
  </w:style>
  <w:style w:type="character" w:styleId="62">
    <w:name w:val="Emphasis"/>
    <w:qFormat/>
    <w:uiPriority w:val="20"/>
    <w:rPr>
      <w:i/>
      <w:iCs/>
    </w:rPr>
  </w:style>
  <w:style w:type="character" w:styleId="63">
    <w:name w:val="Hyperlink"/>
    <w:qFormat/>
    <w:uiPriority w:val="99"/>
    <w:rPr>
      <w:color w:val="0000FF"/>
      <w:u w:val="single"/>
    </w:rPr>
  </w:style>
  <w:style w:type="character" w:styleId="64">
    <w:name w:val="annotation reference"/>
    <w:qFormat/>
    <w:uiPriority w:val="0"/>
    <w:rPr>
      <w:sz w:val="21"/>
      <w:szCs w:val="21"/>
    </w:rPr>
  </w:style>
  <w:style w:type="character" w:styleId="65">
    <w:name w:val="footnote reference"/>
    <w:qFormat/>
    <w:uiPriority w:val="0"/>
    <w:rPr>
      <w:vertAlign w:val="superscript"/>
    </w:rPr>
  </w:style>
  <w:style w:type="character" w:customStyle="1" w:styleId="66">
    <w:name w:val="标题 2 字符"/>
    <w:link w:val="3"/>
    <w:qFormat/>
    <w:uiPriority w:val="0"/>
    <w:rPr>
      <w:rFonts w:ascii="Arial" w:hAnsi="Arial" w:eastAsia="黑体"/>
      <w:b/>
      <w:bCs/>
      <w:kern w:val="2"/>
      <w:sz w:val="32"/>
      <w:szCs w:val="32"/>
    </w:rPr>
  </w:style>
  <w:style w:type="character" w:customStyle="1" w:styleId="67">
    <w:name w:val="标题 3 字符"/>
    <w:link w:val="4"/>
    <w:qFormat/>
    <w:uiPriority w:val="0"/>
    <w:rPr>
      <w:b/>
      <w:bCs/>
      <w:kern w:val="2"/>
      <w:sz w:val="32"/>
      <w:szCs w:val="32"/>
    </w:rPr>
  </w:style>
  <w:style w:type="character" w:customStyle="1" w:styleId="68">
    <w:name w:val="标题 4 字符"/>
    <w:link w:val="5"/>
    <w:qFormat/>
    <w:uiPriority w:val="0"/>
    <w:rPr>
      <w:rFonts w:ascii="Arial" w:hAnsi="Arial" w:eastAsia="黑体"/>
      <w:b/>
      <w:bCs/>
      <w:kern w:val="2"/>
      <w:sz w:val="28"/>
      <w:szCs w:val="28"/>
    </w:rPr>
  </w:style>
  <w:style w:type="character" w:customStyle="1" w:styleId="69">
    <w:name w:val="标题 6 字符"/>
    <w:link w:val="7"/>
    <w:qFormat/>
    <w:uiPriority w:val="0"/>
    <w:rPr>
      <w:rFonts w:ascii="Arial" w:hAnsi="Arial" w:eastAsia="黑体"/>
      <w:b/>
      <w:bCs/>
      <w:sz w:val="24"/>
      <w:szCs w:val="24"/>
    </w:rPr>
  </w:style>
  <w:style w:type="character" w:customStyle="1" w:styleId="70">
    <w:name w:val="标题 7 字符"/>
    <w:link w:val="8"/>
    <w:qFormat/>
    <w:uiPriority w:val="0"/>
    <w:rPr>
      <w:b/>
      <w:bCs/>
      <w:sz w:val="24"/>
      <w:szCs w:val="24"/>
    </w:rPr>
  </w:style>
  <w:style w:type="character" w:customStyle="1" w:styleId="71">
    <w:name w:val="标题 8 字符"/>
    <w:link w:val="9"/>
    <w:qFormat/>
    <w:uiPriority w:val="0"/>
    <w:rPr>
      <w:rFonts w:ascii="Arial" w:hAnsi="Arial" w:eastAsia="黑体"/>
      <w:sz w:val="24"/>
      <w:szCs w:val="24"/>
    </w:rPr>
  </w:style>
  <w:style w:type="character" w:customStyle="1" w:styleId="72">
    <w:name w:val="标题 9 字符"/>
    <w:link w:val="10"/>
    <w:qFormat/>
    <w:uiPriority w:val="0"/>
    <w:rPr>
      <w:rFonts w:ascii="Arial" w:hAnsi="Arial" w:eastAsia="黑体"/>
      <w:sz w:val="21"/>
      <w:szCs w:val="21"/>
    </w:rPr>
  </w:style>
  <w:style w:type="character" w:customStyle="1" w:styleId="73">
    <w:name w:val="正文文本 字符"/>
    <w:link w:val="19"/>
    <w:qFormat/>
    <w:uiPriority w:val="0"/>
    <w:rPr>
      <w:kern w:val="2"/>
      <w:sz w:val="21"/>
      <w:szCs w:val="24"/>
    </w:rPr>
  </w:style>
  <w:style w:type="character" w:customStyle="1" w:styleId="74">
    <w:name w:val="脚注文本 字符"/>
    <w:link w:val="40"/>
    <w:qFormat/>
    <w:uiPriority w:val="0"/>
    <w:rPr>
      <w:kern w:val="2"/>
      <w:sz w:val="18"/>
      <w:szCs w:val="18"/>
    </w:rPr>
  </w:style>
  <w:style w:type="paragraph" w:customStyle="1" w:styleId="75">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character" w:customStyle="1" w:styleId="76">
    <w:name w:val="正文文本 3 字符"/>
    <w:link w:val="18"/>
    <w:qFormat/>
    <w:uiPriority w:val="0"/>
    <w:rPr>
      <w:rFonts w:ascii="宋体"/>
      <w:kern w:val="2"/>
      <w:sz w:val="24"/>
    </w:rPr>
  </w:style>
  <w:style w:type="paragraph" w:customStyle="1" w:styleId="77">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7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79">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character" w:customStyle="1" w:styleId="80">
    <w:name w:val="批注文字 字符"/>
    <w:link w:val="17"/>
    <w:qFormat/>
    <w:uiPriority w:val="0"/>
    <w:rPr>
      <w:kern w:val="2"/>
      <w:sz w:val="21"/>
      <w:szCs w:val="24"/>
    </w:rPr>
  </w:style>
  <w:style w:type="character" w:customStyle="1" w:styleId="81">
    <w:name w:val="标题 字符"/>
    <w:link w:val="51"/>
    <w:qFormat/>
    <w:uiPriority w:val="0"/>
    <w:rPr>
      <w:rFonts w:ascii="Arial" w:hAnsi="Arial"/>
      <w:b/>
      <w:sz w:val="32"/>
    </w:rPr>
  </w:style>
  <w:style w:type="character" w:customStyle="1" w:styleId="82">
    <w:name w:val="正文文本缩进 字符"/>
    <w:link w:val="20"/>
    <w:qFormat/>
    <w:uiPriority w:val="0"/>
    <w:rPr>
      <w:kern w:val="2"/>
      <w:sz w:val="21"/>
      <w:szCs w:val="24"/>
    </w:rPr>
  </w:style>
  <w:style w:type="character" w:customStyle="1" w:styleId="83">
    <w:name w:val="正文文本缩进 3 字符"/>
    <w:link w:val="43"/>
    <w:qFormat/>
    <w:uiPriority w:val="0"/>
    <w:rPr>
      <w:kern w:val="2"/>
      <w:sz w:val="16"/>
      <w:szCs w:val="16"/>
    </w:rPr>
  </w:style>
  <w:style w:type="paragraph" w:customStyle="1" w:styleId="84">
    <w:name w:val="1"/>
    <w:basedOn w:val="1"/>
    <w:qFormat/>
    <w:uiPriority w:val="0"/>
  </w:style>
  <w:style w:type="character" w:customStyle="1" w:styleId="85">
    <w:name w:val="font161"/>
    <w:qFormat/>
    <w:uiPriority w:val="0"/>
    <w:rPr>
      <w:b/>
      <w:bCs/>
      <w:sz w:val="32"/>
      <w:szCs w:val="32"/>
    </w:rPr>
  </w:style>
  <w:style w:type="paragraph" w:customStyle="1" w:styleId="86">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87">
    <w:name w:val="表格"/>
    <w:basedOn w:val="1"/>
    <w:qFormat/>
    <w:uiPriority w:val="0"/>
    <w:pPr>
      <w:jc w:val="center"/>
      <w:textAlignment w:val="center"/>
    </w:pPr>
    <w:rPr>
      <w:rFonts w:ascii="华文细黑" w:hAnsi="华文细黑"/>
      <w:kern w:val="0"/>
      <w:szCs w:val="20"/>
    </w:rPr>
  </w:style>
  <w:style w:type="paragraph" w:customStyle="1" w:styleId="88">
    <w:name w:val="表格文字"/>
    <w:basedOn w:val="1"/>
    <w:qFormat/>
    <w:uiPriority w:val="0"/>
    <w:pPr>
      <w:adjustRightInd w:val="0"/>
      <w:spacing w:line="420" w:lineRule="atLeast"/>
      <w:jc w:val="left"/>
      <w:textAlignment w:val="baseline"/>
    </w:pPr>
    <w:rPr>
      <w:kern w:val="0"/>
      <w:szCs w:val="20"/>
    </w:rPr>
  </w:style>
  <w:style w:type="character" w:customStyle="1" w:styleId="89">
    <w:name w:val="批注框文本 字符"/>
    <w:link w:val="32"/>
    <w:qFormat/>
    <w:uiPriority w:val="0"/>
    <w:rPr>
      <w:kern w:val="2"/>
      <w:sz w:val="18"/>
      <w:szCs w:val="18"/>
    </w:rPr>
  </w:style>
  <w:style w:type="character" w:customStyle="1" w:styleId="90">
    <w:name w:val="文档结构图 字符"/>
    <w:link w:val="16"/>
    <w:qFormat/>
    <w:uiPriority w:val="0"/>
    <w:rPr>
      <w:kern w:val="2"/>
      <w:sz w:val="21"/>
      <w:szCs w:val="24"/>
      <w:shd w:val="clear" w:color="auto" w:fill="000080"/>
    </w:rPr>
  </w:style>
  <w:style w:type="character" w:customStyle="1" w:styleId="91">
    <w:name w:val="正文文本缩进 2 字符"/>
    <w:link w:val="29"/>
    <w:qFormat/>
    <w:uiPriority w:val="0"/>
    <w:rPr>
      <w:rFonts w:ascii="仿宋_GB2312" w:eastAsia="仿宋_GB2312"/>
      <w:kern w:val="2"/>
      <w:sz w:val="28"/>
      <w:szCs w:val="24"/>
    </w:rPr>
  </w:style>
  <w:style w:type="character" w:customStyle="1" w:styleId="92">
    <w:name w:val="纯文本 字符"/>
    <w:link w:val="26"/>
    <w:qFormat/>
    <w:uiPriority w:val="0"/>
    <w:rPr>
      <w:rFonts w:ascii="宋体" w:hAnsi="Courier New"/>
      <w:color w:val="000000"/>
      <w:kern w:val="2"/>
      <w:sz w:val="21"/>
    </w:rPr>
  </w:style>
  <w:style w:type="character" w:customStyle="1" w:styleId="93">
    <w:name w:val="正文文本 2 字符"/>
    <w:link w:val="46"/>
    <w:qFormat/>
    <w:uiPriority w:val="0"/>
    <w:rPr>
      <w:rFonts w:ascii="宋体" w:hAnsi="宋体"/>
      <w:kern w:val="2"/>
      <w:sz w:val="28"/>
      <w:szCs w:val="24"/>
    </w:rPr>
  </w:style>
  <w:style w:type="paragraph" w:customStyle="1" w:styleId="94">
    <w:name w:val="表格文字居中"/>
    <w:basedOn w:val="1"/>
    <w:next w:val="1"/>
    <w:qFormat/>
    <w:uiPriority w:val="0"/>
    <w:pPr>
      <w:tabs>
        <w:tab w:val="left" w:pos="720"/>
        <w:tab w:val="left" w:pos="900"/>
      </w:tabs>
      <w:adjustRightInd w:val="0"/>
      <w:snapToGrid w:val="0"/>
      <w:spacing w:beforeLines="20" w:afterLines="20" w:line="360" w:lineRule="auto"/>
      <w:jc w:val="center"/>
    </w:pPr>
    <w:rPr>
      <w:rFonts w:ascii="宋体" w:hAnsi="Arial"/>
      <w:kern w:val="0"/>
      <w:sz w:val="18"/>
      <w:szCs w:val="20"/>
    </w:rPr>
  </w:style>
  <w:style w:type="character" w:customStyle="1" w:styleId="95">
    <w:name w:val="尾注文本 字符"/>
    <w:link w:val="30"/>
    <w:qFormat/>
    <w:uiPriority w:val="0"/>
    <w:rPr>
      <w:kern w:val="2"/>
      <w:sz w:val="21"/>
      <w:szCs w:val="24"/>
    </w:rPr>
  </w:style>
  <w:style w:type="paragraph" w:customStyle="1" w:styleId="96">
    <w:name w:val="Char Char Char Char"/>
    <w:basedOn w:val="1"/>
    <w:qFormat/>
    <w:uiPriority w:val="0"/>
    <w:pPr>
      <w:spacing w:line="360" w:lineRule="auto"/>
      <w:ind w:firstLine="200" w:firstLineChars="200"/>
    </w:pPr>
    <w:rPr>
      <w:rFonts w:ascii="宋体" w:hAnsi="宋体" w:cs="宋体"/>
      <w:sz w:val="24"/>
    </w:rPr>
  </w:style>
  <w:style w:type="paragraph" w:styleId="97">
    <w:name w:val="List Paragraph"/>
    <w:basedOn w:val="1"/>
    <w:qFormat/>
    <w:uiPriority w:val="1"/>
    <w:pPr>
      <w:ind w:firstLine="420" w:firstLineChars="200"/>
    </w:pPr>
    <w:rPr>
      <w:rFonts w:ascii="Calibri" w:hAnsi="Calibri"/>
      <w:szCs w:val="22"/>
    </w:rPr>
  </w:style>
  <w:style w:type="character" w:customStyle="1" w:styleId="98">
    <w:name w:val="页脚 字符"/>
    <w:link w:val="33"/>
    <w:qFormat/>
    <w:uiPriority w:val="99"/>
    <w:rPr>
      <w:kern w:val="2"/>
      <w:sz w:val="18"/>
      <w:szCs w:val="18"/>
    </w:rPr>
  </w:style>
  <w:style w:type="character" w:customStyle="1" w:styleId="99">
    <w:name w:val="标题 5 字符"/>
    <w:link w:val="6"/>
    <w:qFormat/>
    <w:uiPriority w:val="0"/>
    <w:rPr>
      <w:b/>
      <w:bCs/>
      <w:kern w:val="2"/>
      <w:sz w:val="28"/>
      <w:szCs w:val="28"/>
    </w:rPr>
  </w:style>
  <w:style w:type="character" w:customStyle="1" w:styleId="100">
    <w:name w:val="标题 1 字符"/>
    <w:link w:val="2"/>
    <w:qFormat/>
    <w:uiPriority w:val="0"/>
    <w:rPr>
      <w:b/>
      <w:bCs/>
      <w:kern w:val="44"/>
      <w:sz w:val="44"/>
      <w:szCs w:val="44"/>
    </w:rPr>
  </w:style>
  <w:style w:type="character" w:customStyle="1" w:styleId="101">
    <w:name w:val="页眉 字符"/>
    <w:link w:val="34"/>
    <w:qFormat/>
    <w:uiPriority w:val="99"/>
    <w:rPr>
      <w:kern w:val="2"/>
      <w:sz w:val="18"/>
      <w:szCs w:val="18"/>
    </w:rPr>
  </w:style>
  <w:style w:type="character" w:customStyle="1" w:styleId="102">
    <w:name w:val="日期 字符"/>
    <w:link w:val="28"/>
    <w:qFormat/>
    <w:uiPriority w:val="0"/>
    <w:rPr>
      <w:kern w:val="2"/>
      <w:sz w:val="21"/>
      <w:szCs w:val="24"/>
    </w:rPr>
  </w:style>
  <w:style w:type="character" w:customStyle="1" w:styleId="103">
    <w:name w:val="批注主题 字符"/>
    <w:link w:val="52"/>
    <w:qFormat/>
    <w:uiPriority w:val="0"/>
    <w:rPr>
      <w:b/>
      <w:bCs/>
      <w:kern w:val="2"/>
      <w:sz w:val="21"/>
      <w:szCs w:val="24"/>
    </w:rPr>
  </w:style>
  <w:style w:type="character" w:customStyle="1" w:styleId="104">
    <w:name w:val="副标题 字符"/>
    <w:link w:val="38"/>
    <w:qFormat/>
    <w:uiPriority w:val="0"/>
    <w:rPr>
      <w:rFonts w:ascii="Cambria" w:hAnsi="Cambria"/>
      <w:b/>
      <w:bCs/>
      <w:kern w:val="28"/>
      <w:sz w:val="32"/>
      <w:szCs w:val="32"/>
    </w:rPr>
  </w:style>
  <w:style w:type="paragraph" w:styleId="105">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6">
    <w:name w:val="修订1"/>
    <w:qFormat/>
    <w:uiPriority w:val="0"/>
    <w:rPr>
      <w:rFonts w:ascii="Times New Roman" w:hAnsi="Times New Roman" w:eastAsia="宋体" w:cs="Times New Roman"/>
      <w:kern w:val="2"/>
      <w:sz w:val="21"/>
      <w:szCs w:val="24"/>
      <w:lang w:val="en-US" w:eastAsia="zh-CN" w:bidi="ar-SA"/>
    </w:rPr>
  </w:style>
  <w:style w:type="paragraph" w:styleId="107">
    <w:name w:val="Quote"/>
    <w:basedOn w:val="1"/>
    <w:next w:val="1"/>
    <w:link w:val="108"/>
    <w:qFormat/>
    <w:uiPriority w:val="0"/>
    <w:rPr>
      <w:rFonts w:ascii="Calibri" w:hAnsi="Calibri"/>
      <w:i/>
      <w:iCs/>
      <w:color w:val="000000"/>
      <w:szCs w:val="22"/>
    </w:rPr>
  </w:style>
  <w:style w:type="character" w:customStyle="1" w:styleId="108">
    <w:name w:val="引用 字符"/>
    <w:link w:val="107"/>
    <w:qFormat/>
    <w:uiPriority w:val="0"/>
    <w:rPr>
      <w:rFonts w:ascii="Calibri" w:hAnsi="Calibri"/>
      <w:i/>
      <w:iCs/>
      <w:color w:val="000000"/>
      <w:kern w:val="2"/>
      <w:sz w:val="21"/>
      <w:szCs w:val="22"/>
    </w:rPr>
  </w:style>
  <w:style w:type="paragraph" w:styleId="109">
    <w:name w:val="Intense Quote"/>
    <w:basedOn w:val="1"/>
    <w:next w:val="1"/>
    <w:link w:val="110"/>
    <w:qFormat/>
    <w:uiPriority w:val="0"/>
    <w:pPr>
      <w:pBdr>
        <w:bottom w:val="single" w:color="4F81BD" w:sz="4" w:space="4"/>
      </w:pBdr>
      <w:spacing w:before="200" w:after="280"/>
      <w:ind w:left="936" w:right="936"/>
    </w:pPr>
    <w:rPr>
      <w:rFonts w:ascii="Calibri" w:hAnsi="Calibri"/>
      <w:b/>
      <w:bCs/>
      <w:i/>
      <w:iCs/>
      <w:color w:val="4F81BD"/>
      <w:szCs w:val="22"/>
    </w:rPr>
  </w:style>
  <w:style w:type="character" w:customStyle="1" w:styleId="110">
    <w:name w:val="明显引用 字符"/>
    <w:link w:val="109"/>
    <w:qFormat/>
    <w:uiPriority w:val="0"/>
    <w:rPr>
      <w:rFonts w:ascii="Calibri" w:hAnsi="Calibri"/>
      <w:b/>
      <w:bCs/>
      <w:i/>
      <w:iCs/>
      <w:color w:val="4F81BD"/>
      <w:kern w:val="2"/>
      <w:sz w:val="21"/>
      <w:szCs w:val="22"/>
    </w:rPr>
  </w:style>
  <w:style w:type="paragraph" w:customStyle="1" w:styleId="111">
    <w:name w:val="flNote"/>
    <w:basedOn w:val="1"/>
    <w:qFormat/>
    <w:uiPriority w:val="0"/>
    <w:pPr>
      <w:adjustRightInd w:val="0"/>
      <w:spacing w:before="320" w:after="160" w:line="360" w:lineRule="atLeast"/>
      <w:jc w:val="center"/>
    </w:pPr>
    <w:rPr>
      <w:rFonts w:ascii="Arial" w:eastAsia="黑体"/>
      <w:kern w:val="0"/>
      <w:sz w:val="30"/>
      <w:szCs w:val="20"/>
    </w:rPr>
  </w:style>
  <w:style w:type="character" w:customStyle="1" w:styleId="112">
    <w:name w:val="标题4 Char Char"/>
    <w:link w:val="113"/>
    <w:qFormat/>
    <w:locked/>
    <w:uiPriority w:val="0"/>
    <w:rPr>
      <w:rFonts w:ascii="Arial" w:hAnsi="Arial" w:cs="Arial"/>
      <w:b/>
      <w:bCs/>
      <w:sz w:val="24"/>
      <w:szCs w:val="32"/>
    </w:rPr>
  </w:style>
  <w:style w:type="paragraph" w:customStyle="1" w:styleId="113">
    <w:name w:val="标题4"/>
    <w:basedOn w:val="3"/>
    <w:next w:val="23"/>
    <w:link w:val="112"/>
    <w:qFormat/>
    <w:uiPriority w:val="0"/>
    <w:pPr>
      <w:spacing w:line="412" w:lineRule="auto"/>
    </w:pPr>
    <w:rPr>
      <w:rFonts w:eastAsia="宋体"/>
      <w:kern w:val="0"/>
      <w:sz w:val="24"/>
    </w:rPr>
  </w:style>
  <w:style w:type="character" w:customStyle="1" w:styleId="114">
    <w:name w:val="标题5 Char Char"/>
    <w:link w:val="115"/>
    <w:qFormat/>
    <w:locked/>
    <w:uiPriority w:val="0"/>
    <w:rPr>
      <w:rFonts w:ascii="Arial" w:hAnsi="Arial" w:cs="Arial"/>
      <w:b/>
      <w:bCs/>
      <w:sz w:val="24"/>
      <w:szCs w:val="32"/>
    </w:rPr>
  </w:style>
  <w:style w:type="paragraph" w:customStyle="1" w:styleId="115">
    <w:name w:val="标题5"/>
    <w:basedOn w:val="4"/>
    <w:link w:val="114"/>
    <w:qFormat/>
    <w:uiPriority w:val="0"/>
    <w:pPr>
      <w:spacing w:line="412" w:lineRule="auto"/>
    </w:pPr>
    <w:rPr>
      <w:rFonts w:ascii="Arial" w:hAnsi="Arial"/>
      <w:kern w:val="0"/>
      <w:sz w:val="24"/>
    </w:rPr>
  </w:style>
  <w:style w:type="paragraph" w:customStyle="1" w:styleId="116">
    <w:name w:val="空半行"/>
    <w:basedOn w:val="1"/>
    <w:qFormat/>
    <w:uiPriority w:val="0"/>
    <w:pPr>
      <w:adjustRightInd w:val="0"/>
      <w:spacing w:line="120" w:lineRule="exact"/>
    </w:pPr>
    <w:rPr>
      <w:rFonts w:eastAsia="仿宋_GB2312"/>
      <w:color w:val="FFFFFF"/>
      <w:kern w:val="0"/>
      <w:sz w:val="30"/>
      <w:szCs w:val="20"/>
    </w:rPr>
  </w:style>
  <w:style w:type="character" w:customStyle="1" w:styleId="117">
    <w:name w:val="不明显强调1"/>
    <w:qFormat/>
    <w:uiPriority w:val="0"/>
    <w:rPr>
      <w:i/>
      <w:iCs/>
      <w:color w:val="808080"/>
    </w:rPr>
  </w:style>
  <w:style w:type="character" w:customStyle="1" w:styleId="118">
    <w:name w:val="明显强调1"/>
    <w:qFormat/>
    <w:uiPriority w:val="0"/>
    <w:rPr>
      <w:b/>
      <w:bCs/>
      <w:i/>
      <w:iCs/>
      <w:color w:val="4F81BD"/>
    </w:rPr>
  </w:style>
  <w:style w:type="character" w:customStyle="1" w:styleId="119">
    <w:name w:val="不明显参考1"/>
    <w:qFormat/>
    <w:uiPriority w:val="0"/>
    <w:rPr>
      <w:smallCaps/>
      <w:color w:val="C0504D"/>
      <w:u w:val="single"/>
    </w:rPr>
  </w:style>
  <w:style w:type="character" w:customStyle="1" w:styleId="120">
    <w:name w:val="明显参考1"/>
    <w:qFormat/>
    <w:uiPriority w:val="0"/>
    <w:rPr>
      <w:b/>
      <w:bCs/>
      <w:smallCaps/>
      <w:color w:val="C0504D"/>
      <w:spacing w:val="5"/>
      <w:u w:val="single"/>
    </w:rPr>
  </w:style>
  <w:style w:type="character" w:customStyle="1" w:styleId="121">
    <w:name w:val="书籍标题1"/>
    <w:qFormat/>
    <w:uiPriority w:val="0"/>
    <w:rPr>
      <w:b/>
      <w:bCs/>
      <w:smallCaps/>
      <w:spacing w:val="5"/>
    </w:rPr>
  </w:style>
  <w:style w:type="character" w:customStyle="1" w:styleId="122">
    <w:name w:val="textcontents"/>
    <w:qFormat/>
    <w:uiPriority w:val="0"/>
    <w:rPr>
      <w:rFonts w:hint="default" w:ascii="Times New Roman" w:hAnsi="Times New Roman" w:cs="Times New Roman"/>
    </w:rPr>
  </w:style>
  <w:style w:type="character" w:customStyle="1" w:styleId="123">
    <w:name w:val="日期 Char1"/>
    <w:qFormat/>
    <w:uiPriority w:val="0"/>
    <w:rPr>
      <w:kern w:val="2"/>
      <w:sz w:val="21"/>
      <w:szCs w:val="22"/>
    </w:rPr>
  </w:style>
  <w:style w:type="character" w:customStyle="1" w:styleId="124">
    <w:name w:val="正文文本 Char1"/>
    <w:qFormat/>
    <w:uiPriority w:val="0"/>
    <w:rPr>
      <w:kern w:val="2"/>
      <w:sz w:val="21"/>
      <w:szCs w:val="22"/>
    </w:rPr>
  </w:style>
  <w:style w:type="character" w:customStyle="1" w:styleId="125">
    <w:name w:val="批注主题 Char1"/>
    <w:qFormat/>
    <w:uiPriority w:val="0"/>
    <w:rPr>
      <w:b/>
      <w:bCs/>
      <w:kern w:val="2"/>
      <w:sz w:val="21"/>
      <w:szCs w:val="22"/>
    </w:rPr>
  </w:style>
  <w:style w:type="character" w:customStyle="1" w:styleId="126">
    <w:name w:val="批注文字 Char Char"/>
    <w:qFormat/>
    <w:uiPriority w:val="0"/>
    <w:rPr>
      <w:rFonts w:hint="eastAsia" w:ascii="宋体" w:hAnsi="Times New Roman" w:eastAsia="宋体" w:cs="Times New Roman"/>
      <w:sz w:val="28"/>
      <w:szCs w:val="20"/>
    </w:rPr>
  </w:style>
  <w:style w:type="character" w:customStyle="1" w:styleId="127">
    <w:name w:val="批注框文本 Char1"/>
    <w:qFormat/>
    <w:uiPriority w:val="0"/>
    <w:rPr>
      <w:kern w:val="2"/>
      <w:sz w:val="18"/>
      <w:szCs w:val="18"/>
    </w:rPr>
  </w:style>
  <w:style w:type="character" w:customStyle="1" w:styleId="128">
    <w:name w:val="文档结构图 Char1"/>
    <w:qFormat/>
    <w:uiPriority w:val="0"/>
    <w:rPr>
      <w:rFonts w:hint="eastAsia" w:ascii="宋体" w:hAnsi="宋体" w:eastAsia="宋体"/>
      <w:kern w:val="2"/>
      <w:sz w:val="18"/>
      <w:szCs w:val="18"/>
    </w:rPr>
  </w:style>
  <w:style w:type="character" w:customStyle="1" w:styleId="129">
    <w:name w:val="批注文字 Char1"/>
    <w:qFormat/>
    <w:uiPriority w:val="0"/>
    <w:rPr>
      <w:kern w:val="2"/>
      <w:sz w:val="21"/>
      <w:szCs w:val="22"/>
    </w:rPr>
  </w:style>
  <w:style w:type="character" w:customStyle="1" w:styleId="130">
    <w:name w:val="副标题 Char1"/>
    <w:qFormat/>
    <w:uiPriority w:val="0"/>
    <w:rPr>
      <w:rFonts w:hint="default" w:ascii="Cambria" w:hAnsi="Cambria" w:cs="Times New Roman"/>
      <w:b/>
      <w:bCs/>
      <w:kern w:val="28"/>
      <w:sz w:val="32"/>
      <w:szCs w:val="32"/>
    </w:rPr>
  </w:style>
  <w:style w:type="character" w:customStyle="1" w:styleId="131">
    <w:name w:val="标题 Char1"/>
    <w:qFormat/>
    <w:uiPriority w:val="0"/>
    <w:rPr>
      <w:rFonts w:hint="default" w:ascii="Cambria" w:hAnsi="Cambria" w:cs="Times New Roman"/>
      <w:b/>
      <w:bCs/>
      <w:kern w:val="2"/>
      <w:sz w:val="32"/>
      <w:szCs w:val="32"/>
    </w:rPr>
  </w:style>
  <w:style w:type="character" w:customStyle="1" w:styleId="132">
    <w:name w:val="明显引用 Char1"/>
    <w:qFormat/>
    <w:uiPriority w:val="30"/>
    <w:rPr>
      <w:b/>
      <w:bCs/>
      <w:i/>
      <w:iCs/>
      <w:color w:val="4F81BD"/>
      <w:kern w:val="2"/>
      <w:sz w:val="21"/>
      <w:szCs w:val="22"/>
    </w:rPr>
  </w:style>
  <w:style w:type="character" w:customStyle="1" w:styleId="133">
    <w:name w:val="页眉 Char1"/>
    <w:semiHidden/>
    <w:qFormat/>
    <w:uiPriority w:val="99"/>
    <w:rPr>
      <w:kern w:val="2"/>
      <w:sz w:val="18"/>
      <w:szCs w:val="18"/>
    </w:rPr>
  </w:style>
  <w:style w:type="character" w:customStyle="1" w:styleId="134">
    <w:name w:val="文档结构图 Char2"/>
    <w:qFormat/>
    <w:uiPriority w:val="0"/>
    <w:rPr>
      <w:rFonts w:hint="eastAsia" w:ascii="宋体" w:hAnsi="宋体" w:eastAsia="宋体"/>
      <w:kern w:val="2"/>
      <w:sz w:val="18"/>
      <w:szCs w:val="18"/>
    </w:rPr>
  </w:style>
  <w:style w:type="character" w:customStyle="1" w:styleId="135">
    <w:name w:val="正文文本 Char2"/>
    <w:qFormat/>
    <w:uiPriority w:val="0"/>
    <w:rPr>
      <w:kern w:val="2"/>
      <w:sz w:val="21"/>
      <w:szCs w:val="22"/>
    </w:rPr>
  </w:style>
  <w:style w:type="character" w:customStyle="1" w:styleId="136">
    <w:name w:val="引用 Char1"/>
    <w:qFormat/>
    <w:uiPriority w:val="29"/>
    <w:rPr>
      <w:i/>
      <w:iCs/>
      <w:color w:val="000000"/>
      <w:kern w:val="2"/>
      <w:sz w:val="21"/>
      <w:szCs w:val="22"/>
    </w:rPr>
  </w:style>
  <w:style w:type="character" w:customStyle="1" w:styleId="137">
    <w:name w:val="页脚 Char1"/>
    <w:semiHidden/>
    <w:qFormat/>
    <w:uiPriority w:val="99"/>
    <w:rPr>
      <w:kern w:val="2"/>
      <w:sz w:val="18"/>
      <w:szCs w:val="18"/>
    </w:rPr>
  </w:style>
  <w:style w:type="character" w:customStyle="1" w:styleId="138">
    <w:name w:val="批注主题 Char2"/>
    <w:qFormat/>
    <w:uiPriority w:val="0"/>
    <w:rPr>
      <w:b/>
      <w:bCs/>
      <w:kern w:val="2"/>
      <w:sz w:val="21"/>
      <w:szCs w:val="22"/>
    </w:rPr>
  </w:style>
  <w:style w:type="character" w:customStyle="1" w:styleId="139">
    <w:name w:val="日期 Char2"/>
    <w:qFormat/>
    <w:uiPriority w:val="0"/>
    <w:rPr>
      <w:kern w:val="2"/>
      <w:sz w:val="21"/>
      <w:szCs w:val="22"/>
    </w:rPr>
  </w:style>
  <w:style w:type="character" w:customStyle="1" w:styleId="140">
    <w:name w:val="批注框文本 Char2"/>
    <w:qFormat/>
    <w:uiPriority w:val="0"/>
    <w:rPr>
      <w:kern w:val="2"/>
      <w:sz w:val="18"/>
      <w:szCs w:val="18"/>
    </w:rPr>
  </w:style>
  <w:style w:type="paragraph" w:customStyle="1" w:styleId="141">
    <w:name w:val="样式3"/>
    <w:basedOn w:val="1"/>
    <w:qFormat/>
    <w:uiPriority w:val="0"/>
    <w:pPr>
      <w:keepNext/>
      <w:keepLines/>
      <w:spacing w:line="400" w:lineRule="exact"/>
      <w:outlineLvl w:val="0"/>
    </w:pPr>
    <w:rPr>
      <w:b/>
      <w:bCs/>
      <w:kern w:val="44"/>
      <w:sz w:val="28"/>
      <w:szCs w:val="44"/>
    </w:rPr>
  </w:style>
  <w:style w:type="paragraph" w:customStyle="1" w:styleId="142">
    <w:name w:val="Char Char"/>
    <w:basedOn w:val="1"/>
    <w:qFormat/>
    <w:uiPriority w:val="0"/>
  </w:style>
  <w:style w:type="paragraph" w:customStyle="1" w:styleId="143">
    <w:name w:val="Char Char1"/>
    <w:basedOn w:val="1"/>
    <w:qFormat/>
    <w:uiPriority w:val="0"/>
    <w:rPr>
      <w:rFonts w:ascii="Tahoma" w:hAnsi="Tahoma"/>
      <w:sz w:val="24"/>
      <w:szCs w:val="20"/>
    </w:rPr>
  </w:style>
  <w:style w:type="paragraph" w:customStyle="1" w:styleId="144">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14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46">
    <w:name w:val="CM1"/>
    <w:basedOn w:val="145"/>
    <w:next w:val="145"/>
    <w:qFormat/>
    <w:uiPriority w:val="99"/>
    <w:rPr>
      <w:rFonts w:cs="Times New Roman"/>
      <w:color w:val="auto"/>
    </w:rPr>
  </w:style>
  <w:style w:type="paragraph" w:customStyle="1" w:styleId="147">
    <w:name w:val="CM97"/>
    <w:basedOn w:val="145"/>
    <w:next w:val="145"/>
    <w:qFormat/>
    <w:uiPriority w:val="99"/>
    <w:rPr>
      <w:rFonts w:cs="Times New Roman"/>
      <w:color w:val="auto"/>
    </w:rPr>
  </w:style>
  <w:style w:type="paragraph" w:customStyle="1" w:styleId="148">
    <w:name w:val="CM98"/>
    <w:basedOn w:val="145"/>
    <w:next w:val="145"/>
    <w:qFormat/>
    <w:uiPriority w:val="99"/>
    <w:rPr>
      <w:rFonts w:cs="Times New Roman"/>
      <w:color w:val="auto"/>
    </w:rPr>
  </w:style>
  <w:style w:type="paragraph" w:customStyle="1" w:styleId="149">
    <w:name w:val="CM2"/>
    <w:basedOn w:val="145"/>
    <w:next w:val="145"/>
    <w:qFormat/>
    <w:uiPriority w:val="99"/>
    <w:pPr>
      <w:spacing w:line="500" w:lineRule="atLeast"/>
    </w:pPr>
    <w:rPr>
      <w:rFonts w:cs="Times New Roman"/>
      <w:color w:val="auto"/>
    </w:rPr>
  </w:style>
  <w:style w:type="paragraph" w:customStyle="1" w:styleId="150">
    <w:name w:val="CM3"/>
    <w:basedOn w:val="145"/>
    <w:next w:val="145"/>
    <w:qFormat/>
    <w:uiPriority w:val="99"/>
    <w:pPr>
      <w:spacing w:line="500" w:lineRule="atLeast"/>
    </w:pPr>
    <w:rPr>
      <w:rFonts w:cs="Times New Roman"/>
      <w:color w:val="auto"/>
    </w:rPr>
  </w:style>
  <w:style w:type="paragraph" w:customStyle="1" w:styleId="151">
    <w:name w:val="CM99"/>
    <w:basedOn w:val="145"/>
    <w:next w:val="145"/>
    <w:qFormat/>
    <w:uiPriority w:val="99"/>
    <w:rPr>
      <w:rFonts w:cs="Times New Roman"/>
      <w:color w:val="auto"/>
    </w:rPr>
  </w:style>
  <w:style w:type="paragraph" w:customStyle="1" w:styleId="152">
    <w:name w:val="CM4"/>
    <w:basedOn w:val="145"/>
    <w:next w:val="145"/>
    <w:qFormat/>
    <w:uiPriority w:val="99"/>
    <w:rPr>
      <w:rFonts w:cs="Times New Roman"/>
      <w:color w:val="auto"/>
    </w:rPr>
  </w:style>
  <w:style w:type="paragraph" w:customStyle="1" w:styleId="153">
    <w:name w:val="CM100"/>
    <w:basedOn w:val="145"/>
    <w:next w:val="145"/>
    <w:qFormat/>
    <w:uiPriority w:val="99"/>
    <w:rPr>
      <w:rFonts w:cs="Times New Roman"/>
      <w:color w:val="auto"/>
    </w:rPr>
  </w:style>
  <w:style w:type="paragraph" w:customStyle="1" w:styleId="154">
    <w:name w:val="CM5"/>
    <w:basedOn w:val="145"/>
    <w:next w:val="145"/>
    <w:qFormat/>
    <w:uiPriority w:val="99"/>
    <w:rPr>
      <w:rFonts w:cs="Times New Roman"/>
      <w:color w:val="auto"/>
    </w:rPr>
  </w:style>
  <w:style w:type="paragraph" w:customStyle="1" w:styleId="155">
    <w:name w:val="CM6"/>
    <w:basedOn w:val="145"/>
    <w:next w:val="145"/>
    <w:qFormat/>
    <w:uiPriority w:val="99"/>
    <w:pPr>
      <w:spacing w:line="318" w:lineRule="atLeast"/>
    </w:pPr>
    <w:rPr>
      <w:rFonts w:cs="Times New Roman"/>
      <w:color w:val="auto"/>
    </w:rPr>
  </w:style>
  <w:style w:type="paragraph" w:customStyle="1" w:styleId="156">
    <w:name w:val="CM7"/>
    <w:basedOn w:val="145"/>
    <w:next w:val="145"/>
    <w:qFormat/>
    <w:uiPriority w:val="99"/>
    <w:pPr>
      <w:spacing w:line="318" w:lineRule="atLeast"/>
    </w:pPr>
    <w:rPr>
      <w:rFonts w:cs="Times New Roman"/>
      <w:color w:val="auto"/>
    </w:rPr>
  </w:style>
  <w:style w:type="paragraph" w:customStyle="1" w:styleId="157">
    <w:name w:val="CM8"/>
    <w:basedOn w:val="145"/>
    <w:next w:val="145"/>
    <w:qFormat/>
    <w:uiPriority w:val="99"/>
    <w:pPr>
      <w:spacing w:line="318" w:lineRule="atLeast"/>
    </w:pPr>
    <w:rPr>
      <w:rFonts w:cs="Times New Roman"/>
      <w:color w:val="auto"/>
    </w:rPr>
  </w:style>
  <w:style w:type="paragraph" w:customStyle="1" w:styleId="158">
    <w:name w:val="CM9"/>
    <w:basedOn w:val="145"/>
    <w:next w:val="145"/>
    <w:qFormat/>
    <w:uiPriority w:val="99"/>
    <w:rPr>
      <w:rFonts w:cs="Times New Roman"/>
      <w:color w:val="auto"/>
    </w:rPr>
  </w:style>
  <w:style w:type="paragraph" w:customStyle="1" w:styleId="159">
    <w:name w:val="CM101"/>
    <w:basedOn w:val="145"/>
    <w:next w:val="145"/>
    <w:qFormat/>
    <w:uiPriority w:val="99"/>
    <w:rPr>
      <w:rFonts w:cs="Times New Roman"/>
      <w:color w:val="auto"/>
    </w:rPr>
  </w:style>
  <w:style w:type="paragraph" w:customStyle="1" w:styleId="160">
    <w:name w:val="CM10"/>
    <w:basedOn w:val="145"/>
    <w:next w:val="145"/>
    <w:qFormat/>
    <w:uiPriority w:val="99"/>
    <w:rPr>
      <w:rFonts w:cs="Times New Roman"/>
      <w:color w:val="auto"/>
    </w:rPr>
  </w:style>
  <w:style w:type="paragraph" w:customStyle="1" w:styleId="161">
    <w:name w:val="CM11"/>
    <w:basedOn w:val="145"/>
    <w:next w:val="145"/>
    <w:qFormat/>
    <w:uiPriority w:val="99"/>
    <w:pPr>
      <w:spacing w:line="313" w:lineRule="atLeast"/>
    </w:pPr>
    <w:rPr>
      <w:rFonts w:cs="Times New Roman"/>
      <w:color w:val="auto"/>
    </w:rPr>
  </w:style>
  <w:style w:type="paragraph" w:customStyle="1" w:styleId="162">
    <w:name w:val="CM12"/>
    <w:basedOn w:val="145"/>
    <w:next w:val="145"/>
    <w:qFormat/>
    <w:uiPriority w:val="99"/>
    <w:pPr>
      <w:spacing w:line="313" w:lineRule="atLeast"/>
    </w:pPr>
    <w:rPr>
      <w:rFonts w:cs="Times New Roman"/>
      <w:color w:val="auto"/>
    </w:rPr>
  </w:style>
  <w:style w:type="paragraph" w:customStyle="1" w:styleId="163">
    <w:name w:val="CM105"/>
    <w:basedOn w:val="145"/>
    <w:next w:val="145"/>
    <w:qFormat/>
    <w:uiPriority w:val="99"/>
    <w:rPr>
      <w:rFonts w:cs="Times New Roman"/>
      <w:color w:val="auto"/>
    </w:rPr>
  </w:style>
  <w:style w:type="paragraph" w:customStyle="1" w:styleId="164">
    <w:name w:val="CM17"/>
    <w:basedOn w:val="145"/>
    <w:next w:val="145"/>
    <w:qFormat/>
    <w:uiPriority w:val="99"/>
    <w:pPr>
      <w:spacing w:line="440" w:lineRule="atLeast"/>
    </w:pPr>
    <w:rPr>
      <w:rFonts w:cs="Times New Roman"/>
      <w:color w:val="auto"/>
    </w:rPr>
  </w:style>
  <w:style w:type="paragraph" w:customStyle="1" w:styleId="165">
    <w:name w:val="CM18"/>
    <w:basedOn w:val="145"/>
    <w:next w:val="145"/>
    <w:qFormat/>
    <w:uiPriority w:val="99"/>
    <w:pPr>
      <w:spacing w:line="440" w:lineRule="atLeast"/>
    </w:pPr>
    <w:rPr>
      <w:rFonts w:cs="Times New Roman"/>
      <w:color w:val="auto"/>
    </w:rPr>
  </w:style>
  <w:style w:type="paragraph" w:customStyle="1" w:styleId="166">
    <w:name w:val="CM19"/>
    <w:basedOn w:val="145"/>
    <w:next w:val="145"/>
    <w:qFormat/>
    <w:uiPriority w:val="99"/>
    <w:pPr>
      <w:spacing w:line="440" w:lineRule="atLeast"/>
    </w:pPr>
    <w:rPr>
      <w:rFonts w:cs="Times New Roman"/>
      <w:color w:val="auto"/>
    </w:rPr>
  </w:style>
  <w:style w:type="paragraph" w:customStyle="1" w:styleId="167">
    <w:name w:val="CM20"/>
    <w:basedOn w:val="145"/>
    <w:next w:val="145"/>
    <w:qFormat/>
    <w:uiPriority w:val="99"/>
    <w:pPr>
      <w:spacing w:line="400" w:lineRule="atLeast"/>
    </w:pPr>
    <w:rPr>
      <w:rFonts w:cs="Times New Roman"/>
      <w:color w:val="auto"/>
    </w:rPr>
  </w:style>
  <w:style w:type="paragraph" w:customStyle="1" w:styleId="168">
    <w:name w:val="CM24"/>
    <w:basedOn w:val="145"/>
    <w:next w:val="145"/>
    <w:qFormat/>
    <w:uiPriority w:val="99"/>
    <w:pPr>
      <w:spacing w:line="400" w:lineRule="atLeast"/>
    </w:pPr>
    <w:rPr>
      <w:rFonts w:cs="Times New Roman"/>
      <w:color w:val="auto"/>
    </w:rPr>
  </w:style>
  <w:style w:type="paragraph" w:customStyle="1" w:styleId="169">
    <w:name w:val="CM26"/>
    <w:basedOn w:val="145"/>
    <w:next w:val="145"/>
    <w:qFormat/>
    <w:uiPriority w:val="99"/>
    <w:pPr>
      <w:spacing w:line="400" w:lineRule="atLeast"/>
    </w:pPr>
    <w:rPr>
      <w:rFonts w:cs="Times New Roman"/>
      <w:color w:val="auto"/>
    </w:rPr>
  </w:style>
  <w:style w:type="paragraph" w:customStyle="1" w:styleId="170">
    <w:name w:val="CM29"/>
    <w:basedOn w:val="145"/>
    <w:next w:val="145"/>
    <w:qFormat/>
    <w:uiPriority w:val="99"/>
    <w:pPr>
      <w:spacing w:line="400" w:lineRule="atLeast"/>
    </w:pPr>
    <w:rPr>
      <w:rFonts w:cs="Times New Roman"/>
      <w:color w:val="auto"/>
    </w:rPr>
  </w:style>
  <w:style w:type="paragraph" w:customStyle="1" w:styleId="171">
    <w:name w:val="CM32"/>
    <w:basedOn w:val="145"/>
    <w:next w:val="145"/>
    <w:qFormat/>
    <w:uiPriority w:val="99"/>
    <w:pPr>
      <w:spacing w:line="400" w:lineRule="atLeast"/>
    </w:pPr>
    <w:rPr>
      <w:rFonts w:cs="Times New Roman"/>
      <w:color w:val="auto"/>
    </w:rPr>
  </w:style>
  <w:style w:type="paragraph" w:customStyle="1" w:styleId="172">
    <w:name w:val="CM28"/>
    <w:basedOn w:val="145"/>
    <w:next w:val="145"/>
    <w:qFormat/>
    <w:uiPriority w:val="99"/>
    <w:pPr>
      <w:spacing w:line="398" w:lineRule="atLeast"/>
    </w:pPr>
    <w:rPr>
      <w:rFonts w:cs="Times New Roman"/>
      <w:color w:val="auto"/>
    </w:rPr>
  </w:style>
  <w:style w:type="paragraph" w:customStyle="1" w:styleId="173">
    <w:name w:val="CM34"/>
    <w:basedOn w:val="145"/>
    <w:next w:val="145"/>
    <w:qFormat/>
    <w:uiPriority w:val="99"/>
    <w:rPr>
      <w:rFonts w:cs="Times New Roman"/>
      <w:color w:val="auto"/>
    </w:rPr>
  </w:style>
  <w:style w:type="paragraph" w:customStyle="1" w:styleId="174">
    <w:name w:val="CM35"/>
    <w:basedOn w:val="145"/>
    <w:next w:val="145"/>
    <w:qFormat/>
    <w:uiPriority w:val="99"/>
    <w:pPr>
      <w:spacing w:line="400" w:lineRule="atLeast"/>
    </w:pPr>
    <w:rPr>
      <w:rFonts w:cs="Times New Roman"/>
      <w:color w:val="auto"/>
    </w:rPr>
  </w:style>
  <w:style w:type="paragraph" w:customStyle="1" w:styleId="175">
    <w:name w:val="CM109"/>
    <w:basedOn w:val="145"/>
    <w:next w:val="145"/>
    <w:qFormat/>
    <w:uiPriority w:val="99"/>
    <w:rPr>
      <w:rFonts w:cs="Times New Roman"/>
      <w:color w:val="auto"/>
    </w:rPr>
  </w:style>
  <w:style w:type="paragraph" w:customStyle="1" w:styleId="176">
    <w:name w:val="CM43"/>
    <w:basedOn w:val="145"/>
    <w:next w:val="145"/>
    <w:qFormat/>
    <w:uiPriority w:val="99"/>
    <w:pPr>
      <w:spacing w:line="440" w:lineRule="atLeast"/>
    </w:pPr>
    <w:rPr>
      <w:rFonts w:cs="Times New Roman"/>
      <w:color w:val="auto"/>
    </w:rPr>
  </w:style>
  <w:style w:type="paragraph" w:customStyle="1" w:styleId="177">
    <w:name w:val="CM107"/>
    <w:basedOn w:val="145"/>
    <w:next w:val="145"/>
    <w:qFormat/>
    <w:uiPriority w:val="99"/>
    <w:rPr>
      <w:rFonts w:cs="Times New Roman"/>
      <w:color w:val="auto"/>
    </w:rPr>
  </w:style>
  <w:style w:type="paragraph" w:customStyle="1" w:styleId="178">
    <w:name w:val="CM104"/>
    <w:basedOn w:val="145"/>
    <w:next w:val="145"/>
    <w:qFormat/>
    <w:uiPriority w:val="99"/>
    <w:rPr>
      <w:rFonts w:cs="Times New Roman"/>
      <w:color w:val="auto"/>
    </w:rPr>
  </w:style>
  <w:style w:type="paragraph" w:customStyle="1" w:styleId="179">
    <w:name w:val="CM45"/>
    <w:basedOn w:val="145"/>
    <w:next w:val="145"/>
    <w:qFormat/>
    <w:uiPriority w:val="99"/>
    <w:rPr>
      <w:rFonts w:cs="Times New Roman"/>
      <w:color w:val="auto"/>
    </w:rPr>
  </w:style>
  <w:style w:type="paragraph" w:customStyle="1" w:styleId="180">
    <w:name w:val="CM46"/>
    <w:basedOn w:val="145"/>
    <w:next w:val="145"/>
    <w:qFormat/>
    <w:uiPriority w:val="99"/>
    <w:pPr>
      <w:spacing w:line="440" w:lineRule="atLeast"/>
    </w:pPr>
    <w:rPr>
      <w:rFonts w:cs="Times New Roman"/>
      <w:color w:val="auto"/>
    </w:rPr>
  </w:style>
  <w:style w:type="paragraph" w:customStyle="1" w:styleId="181">
    <w:name w:val="CM110"/>
    <w:basedOn w:val="145"/>
    <w:next w:val="145"/>
    <w:qFormat/>
    <w:uiPriority w:val="99"/>
    <w:rPr>
      <w:rFonts w:cs="Times New Roman"/>
      <w:color w:val="auto"/>
    </w:rPr>
  </w:style>
  <w:style w:type="paragraph" w:customStyle="1" w:styleId="182">
    <w:name w:val="CM47"/>
    <w:basedOn w:val="145"/>
    <w:next w:val="145"/>
    <w:qFormat/>
    <w:uiPriority w:val="99"/>
    <w:pPr>
      <w:spacing w:line="540" w:lineRule="atLeast"/>
    </w:pPr>
    <w:rPr>
      <w:rFonts w:cs="Times New Roman"/>
      <w:color w:val="auto"/>
    </w:rPr>
  </w:style>
  <w:style w:type="paragraph" w:customStyle="1" w:styleId="183">
    <w:name w:val="CM108"/>
    <w:basedOn w:val="145"/>
    <w:next w:val="145"/>
    <w:qFormat/>
    <w:uiPriority w:val="99"/>
    <w:rPr>
      <w:rFonts w:cs="Times New Roman"/>
      <w:color w:val="auto"/>
    </w:rPr>
  </w:style>
  <w:style w:type="paragraph" w:customStyle="1" w:styleId="184">
    <w:name w:val="CM48"/>
    <w:basedOn w:val="145"/>
    <w:next w:val="145"/>
    <w:qFormat/>
    <w:uiPriority w:val="99"/>
    <w:pPr>
      <w:spacing w:line="440" w:lineRule="atLeast"/>
    </w:pPr>
    <w:rPr>
      <w:rFonts w:cs="Times New Roman"/>
      <w:color w:val="auto"/>
    </w:rPr>
  </w:style>
  <w:style w:type="paragraph" w:customStyle="1" w:styleId="185">
    <w:name w:val="CM49"/>
    <w:basedOn w:val="145"/>
    <w:next w:val="145"/>
    <w:qFormat/>
    <w:uiPriority w:val="99"/>
    <w:pPr>
      <w:spacing w:line="1020" w:lineRule="atLeast"/>
    </w:pPr>
    <w:rPr>
      <w:rFonts w:cs="Times New Roman"/>
      <w:color w:val="auto"/>
    </w:rPr>
  </w:style>
  <w:style w:type="paragraph" w:customStyle="1" w:styleId="186">
    <w:name w:val="CM52"/>
    <w:basedOn w:val="145"/>
    <w:next w:val="145"/>
    <w:qFormat/>
    <w:uiPriority w:val="99"/>
    <w:pPr>
      <w:spacing w:line="400" w:lineRule="atLeast"/>
    </w:pPr>
    <w:rPr>
      <w:rFonts w:cs="Times New Roman"/>
      <w:color w:val="auto"/>
    </w:rPr>
  </w:style>
  <w:style w:type="paragraph" w:customStyle="1" w:styleId="187">
    <w:name w:val="CM102"/>
    <w:basedOn w:val="145"/>
    <w:next w:val="145"/>
    <w:qFormat/>
    <w:uiPriority w:val="99"/>
    <w:rPr>
      <w:rFonts w:cs="Times New Roman"/>
      <w:color w:val="auto"/>
    </w:rPr>
  </w:style>
  <w:style w:type="paragraph" w:customStyle="1" w:styleId="188">
    <w:name w:val="CM54"/>
    <w:basedOn w:val="145"/>
    <w:next w:val="145"/>
    <w:qFormat/>
    <w:uiPriority w:val="99"/>
    <w:rPr>
      <w:rFonts w:cs="Times New Roman"/>
      <w:color w:val="auto"/>
    </w:rPr>
  </w:style>
  <w:style w:type="paragraph" w:customStyle="1" w:styleId="189">
    <w:name w:val="CM57"/>
    <w:basedOn w:val="145"/>
    <w:next w:val="145"/>
    <w:qFormat/>
    <w:uiPriority w:val="99"/>
    <w:pPr>
      <w:spacing w:line="400" w:lineRule="atLeast"/>
    </w:pPr>
    <w:rPr>
      <w:rFonts w:cs="Times New Roman"/>
      <w:color w:val="auto"/>
    </w:rPr>
  </w:style>
  <w:style w:type="paragraph" w:customStyle="1" w:styleId="190">
    <w:name w:val="CM60"/>
    <w:basedOn w:val="145"/>
    <w:next w:val="145"/>
    <w:qFormat/>
    <w:uiPriority w:val="99"/>
    <w:pPr>
      <w:spacing w:line="400" w:lineRule="atLeast"/>
    </w:pPr>
    <w:rPr>
      <w:rFonts w:cs="Times New Roman"/>
      <w:color w:val="auto"/>
    </w:rPr>
  </w:style>
  <w:style w:type="paragraph" w:customStyle="1" w:styleId="191">
    <w:name w:val="CM41"/>
    <w:basedOn w:val="145"/>
    <w:next w:val="145"/>
    <w:qFormat/>
    <w:uiPriority w:val="99"/>
    <w:pPr>
      <w:spacing w:line="400" w:lineRule="atLeast"/>
    </w:pPr>
    <w:rPr>
      <w:rFonts w:cs="Times New Roman"/>
      <w:color w:val="auto"/>
    </w:rPr>
  </w:style>
  <w:style w:type="paragraph" w:customStyle="1" w:styleId="192">
    <w:name w:val="CM22"/>
    <w:basedOn w:val="145"/>
    <w:next w:val="145"/>
    <w:qFormat/>
    <w:uiPriority w:val="99"/>
    <w:rPr>
      <w:rFonts w:cs="Times New Roman"/>
      <w:color w:val="auto"/>
    </w:rPr>
  </w:style>
  <w:style w:type="paragraph" w:customStyle="1" w:styleId="193">
    <w:name w:val="CM40"/>
    <w:basedOn w:val="145"/>
    <w:next w:val="145"/>
    <w:qFormat/>
    <w:uiPriority w:val="99"/>
    <w:pPr>
      <w:spacing w:line="400" w:lineRule="atLeast"/>
    </w:pPr>
    <w:rPr>
      <w:rFonts w:cs="Times New Roman"/>
      <w:color w:val="auto"/>
    </w:rPr>
  </w:style>
  <w:style w:type="paragraph" w:customStyle="1" w:styleId="194">
    <w:name w:val="CM62"/>
    <w:basedOn w:val="145"/>
    <w:next w:val="145"/>
    <w:qFormat/>
    <w:uiPriority w:val="99"/>
    <w:rPr>
      <w:rFonts w:cs="Times New Roman"/>
      <w:color w:val="auto"/>
    </w:rPr>
  </w:style>
  <w:style w:type="paragraph" w:customStyle="1" w:styleId="195">
    <w:name w:val="CM64"/>
    <w:basedOn w:val="145"/>
    <w:next w:val="145"/>
    <w:qFormat/>
    <w:uiPriority w:val="99"/>
    <w:pPr>
      <w:spacing w:line="398" w:lineRule="atLeast"/>
    </w:pPr>
    <w:rPr>
      <w:rFonts w:cs="Times New Roman"/>
      <w:color w:val="auto"/>
    </w:rPr>
  </w:style>
  <w:style w:type="paragraph" w:customStyle="1" w:styleId="196">
    <w:name w:val="CM71"/>
    <w:basedOn w:val="145"/>
    <w:next w:val="145"/>
    <w:qFormat/>
    <w:uiPriority w:val="99"/>
    <w:rPr>
      <w:rFonts w:cs="Times New Roman"/>
      <w:color w:val="auto"/>
    </w:rPr>
  </w:style>
  <w:style w:type="paragraph" w:customStyle="1" w:styleId="197">
    <w:name w:val="CM114"/>
    <w:basedOn w:val="145"/>
    <w:next w:val="145"/>
    <w:qFormat/>
    <w:uiPriority w:val="99"/>
    <w:rPr>
      <w:rFonts w:cs="Times New Roman"/>
      <w:color w:val="auto"/>
    </w:rPr>
  </w:style>
  <w:style w:type="paragraph" w:customStyle="1" w:styleId="198">
    <w:name w:val="CM115"/>
    <w:basedOn w:val="145"/>
    <w:next w:val="145"/>
    <w:qFormat/>
    <w:uiPriority w:val="99"/>
    <w:rPr>
      <w:rFonts w:cs="Times New Roman"/>
      <w:color w:val="auto"/>
    </w:rPr>
  </w:style>
  <w:style w:type="paragraph" w:customStyle="1" w:styleId="199">
    <w:name w:val="CM70"/>
    <w:basedOn w:val="145"/>
    <w:next w:val="145"/>
    <w:qFormat/>
    <w:uiPriority w:val="99"/>
    <w:pPr>
      <w:spacing w:line="400" w:lineRule="atLeast"/>
    </w:pPr>
    <w:rPr>
      <w:rFonts w:cs="Times New Roman"/>
      <w:color w:val="auto"/>
    </w:rPr>
  </w:style>
  <w:style w:type="paragraph" w:customStyle="1" w:styleId="200">
    <w:name w:val="CM74"/>
    <w:basedOn w:val="145"/>
    <w:next w:val="145"/>
    <w:qFormat/>
    <w:uiPriority w:val="99"/>
    <w:pPr>
      <w:spacing w:line="400" w:lineRule="atLeast"/>
    </w:pPr>
    <w:rPr>
      <w:rFonts w:cs="Times New Roman"/>
      <w:color w:val="auto"/>
    </w:rPr>
  </w:style>
  <w:style w:type="paragraph" w:customStyle="1" w:styleId="201">
    <w:name w:val="CM78"/>
    <w:basedOn w:val="145"/>
    <w:next w:val="145"/>
    <w:qFormat/>
    <w:uiPriority w:val="99"/>
    <w:rPr>
      <w:rFonts w:cs="Times New Roman"/>
      <w:color w:val="auto"/>
    </w:rPr>
  </w:style>
  <w:style w:type="paragraph" w:customStyle="1" w:styleId="202">
    <w:name w:val="CM55"/>
    <w:basedOn w:val="145"/>
    <w:next w:val="145"/>
    <w:qFormat/>
    <w:uiPriority w:val="99"/>
    <w:pPr>
      <w:spacing w:line="400" w:lineRule="atLeast"/>
    </w:pPr>
    <w:rPr>
      <w:rFonts w:cs="Times New Roman"/>
      <w:color w:val="auto"/>
    </w:rPr>
  </w:style>
  <w:style w:type="paragraph" w:customStyle="1" w:styleId="203">
    <w:name w:val="CM25"/>
    <w:basedOn w:val="145"/>
    <w:next w:val="145"/>
    <w:qFormat/>
    <w:uiPriority w:val="99"/>
    <w:pPr>
      <w:spacing w:line="400" w:lineRule="atLeast"/>
    </w:pPr>
    <w:rPr>
      <w:rFonts w:cs="Times New Roman"/>
      <w:color w:val="auto"/>
    </w:rPr>
  </w:style>
  <w:style w:type="paragraph" w:customStyle="1" w:styleId="204">
    <w:name w:val="CM44"/>
    <w:basedOn w:val="145"/>
    <w:next w:val="145"/>
    <w:qFormat/>
    <w:uiPriority w:val="99"/>
    <w:rPr>
      <w:rFonts w:cs="Times New Roman"/>
      <w:color w:val="auto"/>
    </w:rPr>
  </w:style>
  <w:style w:type="paragraph" w:customStyle="1" w:styleId="205">
    <w:name w:val="CM83"/>
    <w:basedOn w:val="145"/>
    <w:next w:val="145"/>
    <w:qFormat/>
    <w:uiPriority w:val="99"/>
    <w:pPr>
      <w:spacing w:line="400" w:lineRule="atLeast"/>
    </w:pPr>
    <w:rPr>
      <w:rFonts w:cs="Times New Roman"/>
      <w:color w:val="auto"/>
    </w:rPr>
  </w:style>
  <w:style w:type="paragraph" w:customStyle="1" w:styleId="206">
    <w:name w:val="CM84"/>
    <w:basedOn w:val="145"/>
    <w:next w:val="145"/>
    <w:qFormat/>
    <w:uiPriority w:val="99"/>
    <w:pPr>
      <w:spacing w:line="400" w:lineRule="atLeast"/>
    </w:pPr>
    <w:rPr>
      <w:rFonts w:cs="Times New Roman"/>
      <w:color w:val="auto"/>
    </w:rPr>
  </w:style>
  <w:style w:type="paragraph" w:customStyle="1" w:styleId="207">
    <w:name w:val="CM87"/>
    <w:basedOn w:val="145"/>
    <w:next w:val="145"/>
    <w:qFormat/>
    <w:uiPriority w:val="99"/>
    <w:pPr>
      <w:spacing w:line="440" w:lineRule="atLeast"/>
    </w:pPr>
    <w:rPr>
      <w:rFonts w:cs="Times New Roman"/>
      <w:color w:val="auto"/>
    </w:rPr>
  </w:style>
  <w:style w:type="paragraph" w:customStyle="1" w:styleId="208">
    <w:name w:val="CM88"/>
    <w:basedOn w:val="145"/>
    <w:next w:val="145"/>
    <w:qFormat/>
    <w:uiPriority w:val="99"/>
    <w:pPr>
      <w:spacing w:line="440" w:lineRule="atLeast"/>
    </w:pPr>
    <w:rPr>
      <w:rFonts w:cs="Times New Roman"/>
      <w:color w:val="auto"/>
    </w:rPr>
  </w:style>
  <w:style w:type="paragraph" w:customStyle="1" w:styleId="209">
    <w:name w:val="CM90"/>
    <w:basedOn w:val="145"/>
    <w:next w:val="145"/>
    <w:qFormat/>
    <w:uiPriority w:val="99"/>
    <w:pPr>
      <w:spacing w:line="440" w:lineRule="atLeast"/>
    </w:pPr>
    <w:rPr>
      <w:rFonts w:cs="Times New Roman"/>
      <w:color w:val="auto"/>
    </w:rPr>
  </w:style>
  <w:style w:type="paragraph" w:customStyle="1" w:styleId="210">
    <w:name w:val="CM92"/>
    <w:basedOn w:val="145"/>
    <w:next w:val="145"/>
    <w:qFormat/>
    <w:uiPriority w:val="99"/>
    <w:pPr>
      <w:spacing w:line="443" w:lineRule="atLeast"/>
    </w:pPr>
    <w:rPr>
      <w:rFonts w:cs="Times New Roman"/>
      <w:color w:val="auto"/>
    </w:rPr>
  </w:style>
  <w:style w:type="paragraph" w:customStyle="1" w:styleId="211">
    <w:name w:val="CM13"/>
    <w:basedOn w:val="145"/>
    <w:next w:val="145"/>
    <w:qFormat/>
    <w:uiPriority w:val="99"/>
    <w:rPr>
      <w:rFonts w:cs="Times New Roman"/>
      <w:color w:val="auto"/>
    </w:rPr>
  </w:style>
  <w:style w:type="paragraph" w:customStyle="1" w:styleId="212">
    <w:name w:val="CM112"/>
    <w:basedOn w:val="145"/>
    <w:next w:val="145"/>
    <w:qFormat/>
    <w:uiPriority w:val="99"/>
    <w:rPr>
      <w:rFonts w:cs="Times New Roman"/>
      <w:color w:val="auto"/>
    </w:rPr>
  </w:style>
  <w:style w:type="paragraph" w:customStyle="1" w:styleId="213">
    <w:name w:val="CM103"/>
    <w:basedOn w:val="145"/>
    <w:next w:val="145"/>
    <w:qFormat/>
    <w:uiPriority w:val="99"/>
    <w:rPr>
      <w:rFonts w:cs="Times New Roman"/>
      <w:color w:val="auto"/>
    </w:rPr>
  </w:style>
  <w:style w:type="paragraph" w:customStyle="1" w:styleId="214">
    <w:name w:val="CM95"/>
    <w:basedOn w:val="145"/>
    <w:next w:val="145"/>
    <w:qFormat/>
    <w:uiPriority w:val="99"/>
    <w:pPr>
      <w:spacing w:line="440" w:lineRule="atLeast"/>
    </w:pPr>
    <w:rPr>
      <w:rFonts w:cs="Times New Roman"/>
      <w:color w:val="auto"/>
    </w:rPr>
  </w:style>
  <w:style w:type="paragraph" w:customStyle="1" w:styleId="215">
    <w:name w:val="CM94"/>
    <w:basedOn w:val="145"/>
    <w:next w:val="145"/>
    <w:qFormat/>
    <w:uiPriority w:val="99"/>
    <w:pPr>
      <w:spacing w:line="440" w:lineRule="atLeast"/>
    </w:pPr>
    <w:rPr>
      <w:rFonts w:cs="Times New Roman"/>
      <w:color w:val="auto"/>
    </w:rPr>
  </w:style>
  <w:style w:type="paragraph" w:customStyle="1" w:styleId="216">
    <w:name w:val="CM96"/>
    <w:basedOn w:val="145"/>
    <w:next w:val="145"/>
    <w:qFormat/>
    <w:uiPriority w:val="99"/>
    <w:rPr>
      <w:rFonts w:cs="Times New Roman"/>
      <w:color w:val="auto"/>
    </w:rPr>
  </w:style>
  <w:style w:type="paragraph" w:customStyle="1" w:styleId="21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center"/>
    </w:pPr>
    <w:rPr>
      <w:rFonts w:ascii="Courier New" w:hAnsi="Courier New"/>
      <w:b/>
      <w:kern w:val="0"/>
      <w:sz w:val="44"/>
      <w:szCs w:val="20"/>
    </w:rPr>
  </w:style>
  <w:style w:type="paragraph" w:customStyle="1" w:styleId="218">
    <w:name w:val="xl25"/>
    <w:basedOn w:val="1"/>
    <w:qFormat/>
    <w:uiPriority w:val="0"/>
    <w:pPr>
      <w:widowControl/>
      <w:spacing w:before="100" w:beforeAutospacing="1" w:after="100" w:afterAutospacing="1"/>
      <w:jc w:val="center"/>
      <w:textAlignment w:val="center"/>
    </w:pPr>
    <w:rPr>
      <w:rFonts w:ascii="Arial Unicode MS" w:hAnsi="Arial Unicode MS" w:eastAsia="Arial Unicode MS"/>
      <w:kern w:val="0"/>
      <w:sz w:val="24"/>
    </w:rPr>
  </w:style>
  <w:style w:type="paragraph" w:customStyle="1" w:styleId="219">
    <w:name w:val="样式 标题 1 + 居中"/>
    <w:basedOn w:val="2"/>
    <w:qFormat/>
    <w:uiPriority w:val="0"/>
    <w:pPr>
      <w:spacing w:line="360" w:lineRule="auto"/>
      <w:jc w:val="center"/>
    </w:pPr>
    <w:rPr>
      <w:rFonts w:cs="宋体"/>
      <w:szCs w:val="20"/>
    </w:rPr>
  </w:style>
  <w:style w:type="paragraph" w:customStyle="1" w:styleId="220">
    <w:name w:val="样式 标题 1 + 居中1"/>
    <w:basedOn w:val="2"/>
    <w:qFormat/>
    <w:uiPriority w:val="0"/>
    <w:pPr>
      <w:spacing w:line="240" w:lineRule="auto"/>
      <w:jc w:val="center"/>
    </w:pPr>
    <w:rPr>
      <w:rFonts w:cs="宋体"/>
      <w:szCs w:val="20"/>
    </w:rPr>
  </w:style>
  <w:style w:type="paragraph" w:customStyle="1" w:styleId="221">
    <w:name w:val="样式 标题 3 + 字符缩放: 99%"/>
    <w:basedOn w:val="4"/>
    <w:qFormat/>
    <w:uiPriority w:val="0"/>
    <w:pPr>
      <w:spacing w:line="240" w:lineRule="auto"/>
    </w:pPr>
    <w:rPr>
      <w:w w:val="99"/>
      <w:kern w:val="0"/>
      <w:sz w:val="24"/>
    </w:rPr>
  </w:style>
  <w:style w:type="paragraph" w:customStyle="1" w:styleId="222">
    <w:name w:val="样式 标题 2 + 字符缩放: 99%"/>
    <w:basedOn w:val="3"/>
    <w:qFormat/>
    <w:uiPriority w:val="0"/>
    <w:pPr>
      <w:spacing w:line="240" w:lineRule="auto"/>
    </w:pPr>
    <w:rPr>
      <w:rFonts w:eastAsia="宋体"/>
      <w:w w:val="99"/>
      <w:kern w:val="0"/>
    </w:rPr>
  </w:style>
  <w:style w:type="paragraph" w:customStyle="1" w:styleId="223">
    <w:name w:val="样式 标题 2 + 字符缩放: 99%1"/>
    <w:basedOn w:val="3"/>
    <w:qFormat/>
    <w:uiPriority w:val="0"/>
    <w:pPr>
      <w:spacing w:line="240" w:lineRule="auto"/>
    </w:pPr>
    <w:rPr>
      <w:rFonts w:eastAsia="宋体"/>
      <w:w w:val="99"/>
      <w:kern w:val="0"/>
    </w:rPr>
  </w:style>
  <w:style w:type="paragraph" w:customStyle="1" w:styleId="224">
    <w:name w:val="样式 标题 2 + 字符缩放: 105%"/>
    <w:basedOn w:val="3"/>
    <w:qFormat/>
    <w:uiPriority w:val="0"/>
    <w:pPr>
      <w:spacing w:line="240" w:lineRule="auto"/>
    </w:pPr>
    <w:rPr>
      <w:rFonts w:eastAsia="宋体"/>
      <w:w w:val="105"/>
      <w:kern w:val="0"/>
    </w:rPr>
  </w:style>
  <w:style w:type="paragraph" w:customStyle="1" w:styleId="225">
    <w:name w:val="样式 标题 1 + 仿宋_GB2312"/>
    <w:basedOn w:val="2"/>
    <w:qFormat/>
    <w:uiPriority w:val="0"/>
    <w:rPr>
      <w:rFonts w:ascii="仿宋_GB2312" w:hAnsi="仿宋_GB2312" w:eastAsia="仿宋_GB2312"/>
    </w:rPr>
  </w:style>
  <w:style w:type="paragraph" w:customStyle="1" w:styleId="226">
    <w:name w:val="Char Char Char Char Char Char Char"/>
    <w:basedOn w:val="1"/>
    <w:qFormat/>
    <w:uiPriority w:val="0"/>
    <w:pPr>
      <w:adjustRightInd w:val="0"/>
      <w:spacing w:line="360" w:lineRule="auto"/>
    </w:pPr>
    <w:rPr>
      <w:kern w:val="0"/>
      <w:sz w:val="24"/>
      <w:szCs w:val="20"/>
    </w:rPr>
  </w:style>
  <w:style w:type="paragraph" w:customStyle="1" w:styleId="227">
    <w:name w:val="样式1"/>
    <w:basedOn w:val="3"/>
    <w:qFormat/>
    <w:uiPriority w:val="0"/>
    <w:pPr>
      <w:keepNext w:val="0"/>
      <w:keepLines w:val="0"/>
      <w:widowControl/>
      <w:adjustRightInd w:val="0"/>
      <w:spacing w:before="0" w:after="0" w:line="460" w:lineRule="exact"/>
      <w:jc w:val="center"/>
      <w:textAlignment w:val="baseline"/>
    </w:pPr>
    <w:rPr>
      <w:rFonts w:ascii="Times New Roman" w:hAnsi="Times New Roman" w:eastAsia="宋体"/>
      <w:kern w:val="0"/>
      <w:sz w:val="24"/>
      <w:szCs w:val="20"/>
    </w:rPr>
  </w:style>
  <w:style w:type="paragraph" w:customStyle="1" w:styleId="228">
    <w:name w:val="样式2"/>
    <w:basedOn w:val="2"/>
    <w:qFormat/>
    <w:uiPriority w:val="0"/>
    <w:pPr>
      <w:adjustRightInd w:val="0"/>
      <w:spacing w:before="0" w:after="0" w:line="360" w:lineRule="auto"/>
      <w:jc w:val="center"/>
      <w:textAlignment w:val="baseline"/>
    </w:pPr>
    <w:rPr>
      <w:sz w:val="36"/>
      <w:szCs w:val="36"/>
    </w:rPr>
  </w:style>
  <w:style w:type="character" w:customStyle="1" w:styleId="229">
    <w:name w:val="正文文本首行缩进 字符"/>
    <w:basedOn w:val="73"/>
    <w:link w:val="53"/>
    <w:qFormat/>
    <w:uiPriority w:val="0"/>
    <w:rPr>
      <w:kern w:val="2"/>
      <w:sz w:val="21"/>
      <w:szCs w:val="24"/>
    </w:rPr>
  </w:style>
  <w:style w:type="character" w:customStyle="1" w:styleId="230">
    <w:name w:val="正文文本首行缩进 2 字符"/>
    <w:basedOn w:val="82"/>
    <w:link w:val="54"/>
    <w:qFormat/>
    <w:uiPriority w:val="0"/>
    <w:rPr>
      <w:kern w:val="2"/>
      <w:sz w:val="21"/>
      <w:szCs w:val="24"/>
    </w:rPr>
  </w:style>
  <w:style w:type="paragraph" w:customStyle="1" w:styleId="231">
    <w:name w:val="正文1"/>
    <w:qFormat/>
    <w:uiPriority w:val="0"/>
    <w:pPr>
      <w:widowControl w:val="0"/>
      <w:autoSpaceDE w:val="0"/>
      <w:autoSpaceDN w:val="0"/>
      <w:adjustRightInd w:val="0"/>
      <w:spacing w:line="0" w:lineRule="atLeast"/>
      <w:textAlignment w:val="bottom"/>
    </w:pPr>
    <w:rPr>
      <w:rFonts w:ascii="宋体" w:hAnsi="Times New Roman" w:eastAsia="宋体" w:cs="Times New Roman"/>
      <w:spacing w:val="10"/>
      <w:sz w:val="21"/>
      <w:lang w:val="en-US" w:eastAsia="zh-CN" w:bidi="ar-SA"/>
    </w:rPr>
  </w:style>
  <w:style w:type="paragraph" w:customStyle="1" w:styleId="232">
    <w:name w:val="Char"/>
    <w:basedOn w:val="1"/>
    <w:qFormat/>
    <w:uiPriority w:val="0"/>
    <w:pPr>
      <w:spacing w:line="360" w:lineRule="auto"/>
      <w:ind w:firstLine="200" w:firstLineChars="200"/>
    </w:pPr>
    <w:rPr>
      <w:rFonts w:ascii="宋体" w:hAnsi="宋体" w:cs="宋体"/>
      <w:sz w:val="24"/>
    </w:rPr>
  </w:style>
  <w:style w:type="character" w:customStyle="1" w:styleId="233">
    <w:name w:val="其他_"/>
    <w:link w:val="234"/>
    <w:qFormat/>
    <w:uiPriority w:val="0"/>
    <w:rPr>
      <w:rFonts w:ascii="宋体" w:hAnsi="宋体" w:cs="宋体"/>
      <w:shd w:val="clear" w:color="auto" w:fill="FFFFFF"/>
      <w:lang w:val="zh-CN" w:bidi="zh-CN"/>
    </w:rPr>
  </w:style>
  <w:style w:type="paragraph" w:customStyle="1" w:styleId="234">
    <w:name w:val="其他"/>
    <w:basedOn w:val="1"/>
    <w:link w:val="233"/>
    <w:qFormat/>
    <w:uiPriority w:val="0"/>
    <w:pPr>
      <w:shd w:val="clear" w:color="auto" w:fill="FFFFFF"/>
      <w:spacing w:line="430" w:lineRule="auto"/>
      <w:ind w:firstLine="400"/>
      <w:jc w:val="distribute"/>
    </w:pPr>
    <w:rPr>
      <w:rFonts w:ascii="宋体" w:hAnsi="宋体" w:cs="宋体"/>
      <w:kern w:val="0"/>
      <w:sz w:val="20"/>
      <w:szCs w:val="20"/>
      <w:lang w:val="zh-CN" w:bidi="zh-CN"/>
    </w:rPr>
  </w:style>
  <w:style w:type="paragraph" w:customStyle="1" w:styleId="235">
    <w:name w:val="正文_2"/>
    <w:qFormat/>
    <w:uiPriority w:val="0"/>
    <w:pPr>
      <w:widowControl w:val="0"/>
      <w:jc w:val="both"/>
    </w:pPr>
    <w:rPr>
      <w:rFonts w:ascii="Calibri" w:hAnsi="Calibri" w:eastAsia="宋体" w:cs="Times New Roman"/>
      <w:kern w:val="2"/>
      <w:sz w:val="21"/>
      <w:szCs w:val="24"/>
      <w:lang w:val="en-US" w:eastAsia="zh-CN" w:bidi="ar-SA"/>
    </w:rPr>
  </w:style>
  <w:style w:type="character" w:customStyle="1" w:styleId="236">
    <w:name w:val="style61"/>
    <w:qFormat/>
    <w:uiPriority w:val="0"/>
    <w:rPr>
      <w:color w:val="333333"/>
    </w:rPr>
  </w:style>
  <w:style w:type="paragraph" w:customStyle="1" w:styleId="237">
    <w:name w:val="MSG_EN_FONT_STYLE_NAME_TEMPLATE_ROLE_LEVEL MSG_EN_FONT_STYLE_NAME_BY_ROLE_HEADING 6"/>
    <w:basedOn w:val="1"/>
    <w:qFormat/>
    <w:uiPriority w:val="0"/>
    <w:pPr>
      <w:shd w:val="clear" w:color="auto" w:fill="FFFFFF"/>
      <w:spacing w:before="460" w:after="760" w:line="300" w:lineRule="exact"/>
      <w:jc w:val="distribute"/>
      <w:outlineLvl w:val="5"/>
    </w:pPr>
    <w:rPr>
      <w:rFonts w:ascii="Lucida Sans Unicode" w:hAnsi="Lucida Sans Unicode" w:eastAsia="Lucida Sans Unicode" w:cs="Lucida Sans Unicode"/>
      <w:sz w:val="30"/>
      <w:szCs w:val="30"/>
    </w:rPr>
  </w:style>
  <w:style w:type="paragraph" w:customStyle="1" w:styleId="238">
    <w:name w:val="目录"/>
    <w:basedOn w:val="1"/>
    <w:qFormat/>
    <w:uiPriority w:val="0"/>
    <w:pPr>
      <w:widowControl/>
      <w:jc w:val="center"/>
    </w:pPr>
    <w:rPr>
      <w:rFonts w:ascii="宋体"/>
      <w:kern w:val="0"/>
      <w:sz w:val="36"/>
      <w:szCs w:val="20"/>
    </w:rPr>
  </w:style>
  <w:style w:type="character" w:customStyle="1" w:styleId="239">
    <w:name w:val="脚注文本 Char"/>
    <w:qFormat/>
    <w:uiPriority w:val="0"/>
    <w:rPr>
      <w:sz w:val="18"/>
    </w:rPr>
  </w:style>
  <w:style w:type="character" w:customStyle="1" w:styleId="240">
    <w:name w:val="正文文本 Char"/>
    <w:qFormat/>
    <w:uiPriority w:val="0"/>
  </w:style>
  <w:style w:type="character" w:customStyle="1" w:styleId="241">
    <w:name w:val="页脚 Char"/>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A4A6468-C2F0-4F95-9DA7-725BA727410D}">
  <ds:schemaRefs/>
</ds:datastoreItem>
</file>

<file path=docProps/app.xml><?xml version="1.0" encoding="utf-8"?>
<Properties xmlns="http://schemas.openxmlformats.org/officeDocument/2006/extended-properties" xmlns:vt="http://schemas.openxmlformats.org/officeDocument/2006/docPropsVTypes">
  <Template>Normal</Template>
  <Pages>14</Pages>
  <Words>1767</Words>
  <Characters>2021</Characters>
  <Lines>2554</Lines>
  <Paragraphs>1959</Paragraphs>
  <TotalTime>3</TotalTime>
  <ScaleCrop>false</ScaleCrop>
  <LinksUpToDate>false</LinksUpToDate>
  <CharactersWithSpaces>2038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2016-03-31T12:44:00Z</dcterms:created>
  <dc:creator>金良</dc:creator>
  <cp:lastModifiedBy>lenovo</cp:lastModifiedBy>
  <cp:lastPrinted>2025-09-11T01:52:00Z</cp:lastPrinted>
  <dcterms:modified xsi:type="dcterms:W3CDTF">2026-10-18T08:31:16Z</dcterms:modified>
  <cp:revision>1281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2F5F755BD9D24E2FA3753B51F222B31E</vt:lpwstr>
  </property>
  <property fmtid="{D5CDD505-2E9C-101B-9397-08002B2CF9AE}" pid="4" name="KSOTemplateDocerSaveRecord">
    <vt:lpwstr>eyJoZGlkIjoiYzE4NTYxOGVkOTViODQxMjFmMWIxMzE5ZTRlOGE3NmUiLCJ1c2VySWQiOiI0MzA2NDQ1NzAifQ==</vt:lpwstr>
  </property>
</Properties>
</file>